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cs="宋体"/>
          <w:color w:val="auto"/>
          <w:sz w:val="44"/>
          <w:szCs w:val="44"/>
          <w:highlight w:val="none"/>
          <w:lang w:val="en-US" w:eastAsia="zh-CN"/>
        </w:rPr>
        <w:t>启东市合作镇周云村宜居宜业和美乡村建设项目-垃圾焚烧炉项目</w:t>
      </w: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52626A9">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7F1DCCB0">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6FE03A72">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0C1019C5">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57275442"/>
      <w:bookmarkStart w:id="1" w:name="_Toc312608845"/>
      <w:bookmarkStart w:id="2" w:name="_Toc241913651"/>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启东市合作镇人民政府</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代理机构：</w:t>
      </w:r>
      <w:bookmarkEnd w:id="0"/>
      <w:bookmarkEnd w:id="1"/>
      <w:bookmarkEnd w:id="2"/>
      <w:r>
        <w:rPr>
          <w:rFonts w:hint="eastAsia" w:ascii="宋体" w:hAnsi="宋体" w:cs="宋体"/>
          <w:color w:val="auto"/>
          <w:sz w:val="32"/>
          <w:szCs w:val="32"/>
          <w:highlight w:val="none"/>
          <w:lang w:eastAsia="zh-CN"/>
        </w:rPr>
        <w:t>江苏方桂圆工程项目管理有限公司</w:t>
      </w:r>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23</w:t>
      </w:r>
      <w:r>
        <w:rPr>
          <w:rFonts w:hint="eastAsia" w:ascii="宋体" w:hAnsi="宋体" w:eastAsia="宋体" w:cs="宋体"/>
          <w:color w:val="auto"/>
          <w:sz w:val="32"/>
          <w:szCs w:val="32"/>
          <w:highlight w:val="none"/>
        </w:rPr>
        <w:t>日</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5DE22295">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sectPr>
          <w:pgSz w:w="11915" w:h="16840"/>
          <w:pgMar w:top="1440" w:right="1247" w:bottom="1440" w:left="1247" w:header="851" w:footer="850" w:gutter="0"/>
          <w:pgNumType w:fmt="decimal" w:start="1"/>
          <w:cols w:space="720" w:num="1"/>
          <w:docGrid w:type="linesAndChars" w:linePitch="312" w:charSpace="0"/>
        </w:sect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5"/>
      <w:bookmarkStart w:id="7" w:name="OLE_LINK2"/>
      <w:bookmarkStart w:id="8" w:name="OLE_LINK3"/>
      <w:bookmarkStart w:id="9" w:name="OLE_LINK6"/>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启东市合作镇人民政府</w:t>
      </w:r>
      <w:r>
        <w:rPr>
          <w:rFonts w:hint="eastAsia" w:ascii="宋体" w:hAnsi="宋体" w:eastAsia="宋体" w:cs="宋体"/>
          <w:color w:val="auto"/>
          <w:sz w:val="28"/>
          <w:szCs w:val="28"/>
          <w:highlight w:val="none"/>
        </w:rPr>
        <w:t>]的委托，</w:t>
      </w:r>
      <w:r>
        <w:rPr>
          <w:rFonts w:hint="eastAsia" w:ascii="宋体" w:hAnsi="宋体" w:cs="宋体"/>
          <w:color w:val="auto"/>
          <w:sz w:val="28"/>
          <w:szCs w:val="28"/>
          <w:highlight w:val="none"/>
          <w:lang w:eastAsia="zh-CN"/>
        </w:rPr>
        <w:t>江苏方桂圆工程项目管理有限公司</w:t>
      </w:r>
      <w:r>
        <w:rPr>
          <w:rFonts w:hint="eastAsia" w:ascii="宋体" w:hAnsi="宋体" w:eastAsia="宋体" w:cs="宋体"/>
          <w:color w:val="auto"/>
          <w:sz w:val="28"/>
          <w:szCs w:val="28"/>
          <w:highlight w:val="none"/>
        </w:rPr>
        <w:t>就[</w:t>
      </w:r>
      <w:r>
        <w:rPr>
          <w:rFonts w:hint="eastAsia" w:ascii="宋体" w:hAnsi="宋体" w:cs="宋体"/>
          <w:color w:val="auto"/>
          <w:sz w:val="28"/>
          <w:szCs w:val="28"/>
          <w:highlight w:val="none"/>
          <w:lang w:eastAsia="zh-CN"/>
        </w:rPr>
        <w:t>启东市合作镇周云村宜居宜业和美乡村建设项目-垃圾焚烧炉项目</w:t>
      </w:r>
      <w:r>
        <w:rPr>
          <w:rFonts w:hint="eastAsia" w:ascii="宋体" w:hAnsi="宋体" w:eastAsia="宋体" w:cs="宋体"/>
          <w:color w:val="auto"/>
          <w:sz w:val="28"/>
          <w:szCs w:val="28"/>
          <w:highlight w:val="none"/>
        </w:rPr>
        <w:t>]进行询价采购，欢迎符合条件的供应商响应。</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启东市合作镇周云村宜居宜业和美乡村建设项目-垃圾焚烧炉项目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cs="宋体"/>
          <w:color w:val="auto"/>
          <w:sz w:val="28"/>
          <w:szCs w:val="28"/>
          <w:highlight w:val="none"/>
          <w:lang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55000</w:t>
      </w:r>
      <w:r>
        <w:rPr>
          <w:rFonts w:hint="eastAsia" w:ascii="宋体" w:hAnsi="宋体" w:eastAsia="宋体" w:cs="宋体"/>
          <w:color w:val="auto"/>
          <w:sz w:val="28"/>
          <w:szCs w:val="28"/>
          <w:highlight w:val="none"/>
          <w:lang w:val="en-US" w:eastAsia="en-US"/>
        </w:rPr>
        <w:t>元</w:t>
      </w:r>
    </w:p>
    <w:p w14:paraId="02AB10CE">
      <w:pPr>
        <w:keepNext w:val="0"/>
        <w:keepLines w:val="0"/>
        <w:pageBreakBefore w:val="0"/>
        <w:tabs>
          <w:tab w:val="left" w:pos="1875"/>
        </w:tabs>
        <w:kinsoku/>
        <w:wordWrap/>
        <w:overflowPunct/>
        <w:topLinePunct w:val="0"/>
        <w:autoSpaceDE/>
        <w:autoSpaceDN/>
        <w:bidi w:val="0"/>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55000</w:t>
      </w:r>
      <w:r>
        <w:rPr>
          <w:rFonts w:hint="eastAsia" w:ascii="宋体" w:hAnsi="宋体" w:eastAsia="宋体" w:cs="宋体"/>
          <w:color w:val="auto"/>
          <w:sz w:val="28"/>
          <w:szCs w:val="28"/>
          <w:highlight w:val="none"/>
          <w:lang w:val="en-US" w:eastAsia="en-US"/>
        </w:rPr>
        <w:t>元</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投标报价</w:t>
      </w:r>
      <w:r>
        <w:rPr>
          <w:rFonts w:hint="eastAsia" w:ascii="宋体" w:hAnsi="宋体" w:eastAsia="宋体" w:cs="宋体"/>
          <w:color w:val="auto"/>
          <w:sz w:val="28"/>
          <w:szCs w:val="28"/>
          <w:highlight w:val="none"/>
          <w:lang w:eastAsia="zh-CN"/>
        </w:rPr>
        <w:t>高于</w:t>
      </w:r>
      <w:r>
        <w:rPr>
          <w:rFonts w:hint="eastAsia" w:ascii="宋体" w:hAnsi="宋体" w:eastAsia="宋体" w:cs="宋体"/>
          <w:color w:val="auto"/>
          <w:sz w:val="28"/>
          <w:szCs w:val="28"/>
          <w:highlight w:val="none"/>
        </w:rPr>
        <w:t>最高限价的为无效报价。</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4B20B596">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1.供应商应符合《中华人民共和国政府采购法》第二十二条的规定；</w:t>
      </w:r>
    </w:p>
    <w:p w14:paraId="04CD875B">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2.供应商具有行政管理部门颁发的有效营业执照；</w:t>
      </w:r>
    </w:p>
    <w:p w14:paraId="160395F0">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3.供应商未被“信用中国”网站（www.creditchina.gov.cn）列入失信被执行人、重大税收违法案件当事人名单、政府采购严重失信行为记录名单。</w:t>
      </w:r>
    </w:p>
    <w:p w14:paraId="184DA036">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4.本项目不接受联合体投标。</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630CC52F">
      <w:pPr>
        <w:widowControl/>
        <w:shd w:val="clear" w:color="auto" w:fill="FFFFFF"/>
        <w:spacing w:line="500" w:lineRule="exact"/>
        <w:ind w:firstLine="588" w:firstLineChars="200"/>
        <w:rPr>
          <w:rFonts w:hint="eastAsia" w:ascii="宋体" w:hAnsi="宋体" w:cs="宋体"/>
          <w:spacing w:val="7"/>
          <w:kern w:val="0"/>
          <w:sz w:val="28"/>
          <w:szCs w:val="28"/>
          <w:highlight w:val="none"/>
        </w:rPr>
      </w:pPr>
      <w:r>
        <w:rPr>
          <w:rFonts w:hint="eastAsia" w:ascii="宋体" w:hAnsi="宋体" w:cs="宋体"/>
          <w:spacing w:val="7"/>
          <w:kern w:val="0"/>
          <w:sz w:val="28"/>
          <w:szCs w:val="28"/>
        </w:rPr>
        <w:t>时间：</w:t>
      </w:r>
      <w:r>
        <w:rPr>
          <w:rFonts w:hint="eastAsia" w:ascii="宋体" w:hAnsi="宋体" w:eastAsia="宋体" w:cs="宋体"/>
          <w:sz w:val="28"/>
          <w:szCs w:val="28"/>
          <w:highlight w:val="none"/>
        </w:rPr>
        <w:t>自本</w:t>
      </w:r>
      <w:r>
        <w:rPr>
          <w:rFonts w:hint="eastAsia" w:ascii="宋体" w:hAnsi="宋体" w:eastAsia="宋体" w:cs="宋体"/>
          <w:sz w:val="28"/>
          <w:szCs w:val="28"/>
        </w:rPr>
        <w:t>公告发布之日</w:t>
      </w:r>
      <w:r>
        <w:rPr>
          <w:rFonts w:hint="eastAsia" w:ascii="宋体" w:hAnsi="宋体" w:eastAsia="宋体" w:cs="宋体"/>
          <w:sz w:val="28"/>
          <w:szCs w:val="28"/>
          <w:highlight w:val="none"/>
        </w:rPr>
        <w:t>起</w:t>
      </w:r>
      <w:r>
        <w:rPr>
          <w:rFonts w:hint="eastAsia" w:ascii="宋体" w:hAnsi="宋体" w:cs="宋体"/>
          <w:spacing w:val="7"/>
          <w:kern w:val="0"/>
          <w:sz w:val="28"/>
          <w:szCs w:val="28"/>
          <w:highlight w:val="none"/>
        </w:rPr>
        <w:t>至</w:t>
      </w:r>
      <w:r>
        <w:rPr>
          <w:rFonts w:hint="eastAsia" w:ascii="宋体" w:hAnsi="宋体" w:cs="宋体"/>
          <w:spacing w:val="7"/>
          <w:kern w:val="0"/>
          <w:sz w:val="28"/>
          <w:szCs w:val="28"/>
          <w:highlight w:val="none"/>
          <w:lang w:val="en-US" w:eastAsia="zh-CN"/>
        </w:rPr>
        <w:t>2026</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4月29日</w:t>
      </w:r>
      <w:r>
        <w:rPr>
          <w:rFonts w:hint="eastAsia" w:ascii="宋体" w:hAnsi="宋体" w:cs="宋体"/>
          <w:spacing w:val="7"/>
          <w:kern w:val="0"/>
          <w:sz w:val="28"/>
          <w:szCs w:val="28"/>
          <w:highlight w:val="none"/>
        </w:rPr>
        <w:t>。</w:t>
      </w:r>
    </w:p>
    <w:p w14:paraId="457EDA39">
      <w:pPr>
        <w:spacing w:line="500" w:lineRule="exact"/>
        <w:ind w:firstLine="588" w:firstLineChars="200"/>
        <w:jc w:val="left"/>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w:t>
      </w:r>
      <w:r>
        <w:rPr>
          <w:rFonts w:hint="eastAsia" w:ascii="宋体" w:hAnsi="宋体" w:cs="宋体"/>
          <w:sz w:val="28"/>
          <w:szCs w:val="28"/>
          <w:highlight w:val="none"/>
        </w:rPr>
        <w:t>自行</w:t>
      </w:r>
      <w:r>
        <w:rPr>
          <w:rFonts w:hint="eastAsia" w:ascii="宋体" w:hAnsi="宋体" w:cs="宋体"/>
          <w:sz w:val="28"/>
          <w:szCs w:val="28"/>
          <w:highlight w:val="none"/>
          <w:lang w:eastAsia="zh-CN"/>
        </w:rPr>
        <w:t>从</w:t>
      </w:r>
      <w:r>
        <w:rPr>
          <w:rFonts w:hint="eastAsia" w:ascii="宋体" w:hAnsi="宋体" w:cs="宋体"/>
          <w:spacing w:val="7"/>
          <w:kern w:val="0"/>
          <w:sz w:val="28"/>
          <w:szCs w:val="28"/>
          <w:highlight w:val="none"/>
        </w:rPr>
        <w:t>“</w:t>
      </w:r>
      <w:r>
        <w:rPr>
          <w:rFonts w:hint="eastAsia" w:ascii="宋体" w:hAnsi="宋体" w:cs="宋体"/>
          <w:sz w:val="28"/>
          <w:szCs w:val="28"/>
          <w:highlight w:val="none"/>
        </w:rPr>
        <w:t>启东市人民政府网</w:t>
      </w:r>
      <w:r>
        <w:rPr>
          <w:rFonts w:hint="eastAsia" w:ascii="宋体" w:hAnsi="宋体" w:cs="宋体"/>
          <w:spacing w:val="7"/>
          <w:kern w:val="0"/>
          <w:sz w:val="28"/>
          <w:szCs w:val="28"/>
          <w:highlight w:val="none"/>
        </w:rPr>
        <w:t>”</w:t>
      </w:r>
      <w:r>
        <w:rPr>
          <w:rFonts w:hint="eastAsia" w:ascii="宋体" w:hAnsi="宋体" w:cs="宋体"/>
          <w:spacing w:val="7"/>
          <w:kern w:val="0"/>
          <w:sz w:val="28"/>
          <w:szCs w:val="28"/>
          <w:highlight w:val="none"/>
          <w:lang w:val="en-US" w:eastAsia="zh-CN"/>
        </w:rPr>
        <w:t>-“采购与招投标（点击更多）”--“自主采购”栏目</w:t>
      </w:r>
      <w:r>
        <w:rPr>
          <w:rFonts w:hint="eastAsia" w:ascii="宋体" w:hAnsi="宋体" w:cs="宋体"/>
          <w:spacing w:val="7"/>
          <w:kern w:val="0"/>
          <w:sz w:val="28"/>
          <w:szCs w:val="28"/>
          <w:highlight w:val="none"/>
        </w:rPr>
        <w:t>下载。</w:t>
      </w:r>
    </w:p>
    <w:p w14:paraId="6D216CFE">
      <w:pPr>
        <w:adjustRightInd w:val="0"/>
        <w:snapToGrid w:val="0"/>
        <w:spacing w:line="500" w:lineRule="exact"/>
        <w:ind w:firstLine="560" w:firstLineChars="200"/>
        <w:rPr>
          <w:rFonts w:hint="eastAsia" w:ascii="宋体" w:hAnsi="宋体" w:cs="宋体"/>
          <w:b/>
          <w:sz w:val="28"/>
          <w:szCs w:val="28"/>
          <w:highlight w:val="none"/>
        </w:rPr>
      </w:pPr>
      <w:bookmarkStart w:id="13" w:name="_Toc82505656"/>
      <w:r>
        <w:rPr>
          <w:rFonts w:hint="eastAsia" w:ascii="宋体" w:hAnsi="宋体" w:cs="宋体"/>
          <w:b/>
          <w:sz w:val="28"/>
          <w:szCs w:val="28"/>
          <w:highlight w:val="none"/>
        </w:rPr>
        <w:t>四、提交响应文件截止时间、开标时间和地点</w:t>
      </w:r>
    </w:p>
    <w:p w14:paraId="5741809A">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投标截止时间：2026年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日上午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25E77DA2">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开标时间：2026年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日上午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660A870E">
      <w:pPr>
        <w:adjustRightInd w:val="0"/>
        <w:snapToGrid w:val="0"/>
        <w:spacing w:line="440" w:lineRule="exact"/>
        <w:ind w:firstLine="560" w:firstLineChars="200"/>
        <w:rPr>
          <w:rFonts w:hint="eastAsia" w:ascii="宋体" w:hAnsi="宋体" w:cs="宋体"/>
          <w:sz w:val="28"/>
          <w:szCs w:val="28"/>
          <w:highlight w:val="none"/>
          <w:lang w:val="en-US" w:eastAsia="zh-CN"/>
        </w:rPr>
      </w:pPr>
      <w:r>
        <w:rPr>
          <w:rFonts w:hint="eastAsia" w:ascii="宋体" w:hAnsi="宋体" w:eastAsia="宋体" w:cs="宋体"/>
          <w:color w:val="auto"/>
          <w:sz w:val="28"/>
          <w:szCs w:val="28"/>
          <w:highlight w:val="none"/>
          <w:lang w:val="en-US" w:eastAsia="zh-CN"/>
        </w:rPr>
        <w:t>开标地点：</w:t>
      </w:r>
      <w:r>
        <w:rPr>
          <w:rFonts w:hint="eastAsia" w:ascii="宋体" w:hAnsi="宋体" w:cs="宋体"/>
          <w:color w:val="auto"/>
          <w:sz w:val="28"/>
          <w:szCs w:val="28"/>
          <w:highlight w:val="none"/>
          <w:lang w:val="en-US" w:eastAsia="zh-CN"/>
        </w:rPr>
        <w:t>启东市合作镇人民政府便民服务中心</w:t>
      </w:r>
      <w:r>
        <w:rPr>
          <w:rFonts w:hint="eastAsia" w:ascii="宋体" w:hAnsi="宋体" w:eastAsia="宋体" w:cs="宋体"/>
          <w:color w:val="auto"/>
          <w:sz w:val="28"/>
          <w:szCs w:val="28"/>
          <w:highlight w:val="none"/>
          <w:lang w:val="en-US" w:eastAsia="zh-CN"/>
        </w:rPr>
        <w:t>二楼开标室</w:t>
      </w:r>
    </w:p>
    <w:bookmarkEnd w:id="13"/>
    <w:p w14:paraId="232D31B7">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bookmarkStart w:id="14" w:name="_Toc82505657"/>
      <w:r>
        <w:rPr>
          <w:rFonts w:hint="eastAsia" w:ascii="宋体" w:hAnsi="宋体" w:cs="宋体"/>
          <w:b/>
          <w:bCs/>
          <w:color w:val="auto"/>
          <w:sz w:val="28"/>
          <w:szCs w:val="28"/>
          <w:highlight w:val="none"/>
          <w:lang w:val="en-US" w:eastAsia="zh-CN"/>
        </w:rPr>
        <w:t>本项目为不见面开标，供应商无需现场提交报价文件，各潜在供应商在投标截止时间之前自行将报价文件密封后邮寄至江苏省启东市合作镇人民政府，收件人：郭先生；联系电话：18912221228。报价文件接收截止时间：2026年4月29日10时0分；以邮件到达指定接收地址签收为准（只接受顺丰，不接受到付，周末无人接收快递），各供应商应当充分预判因各种因素导致邮件到达滞后情况，提前做好相关准备。迟到的投标文件将被拒绝。</w:t>
      </w:r>
    </w:p>
    <w:p w14:paraId="201E89BD">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本项目不需要供应商到开标现场参加开标。各供应商的授权委托人或法定代表人在2026年4月29日9时30分至10时0分以“单位名称+授权委托人/法定代表人姓名”的格式申请加招标代理人QQ（群号：760372534），后由招标代理统一拉入本项目开标群（群名称：开标），并在入群后修改自己在群里的备注名称为“单位名称+授权委托人/法定代表人姓名”，在开评标全过程中，QQ群是默认的远程交互工具，若供应商未加入本项目QQ交互群，则视为放弃交互和放弃对开评标全过程提疑的权利。供应商将无法看到废标及澄清、评审结果等实时情况，并承担由此导致的一切后果。</w:t>
      </w:r>
    </w:p>
    <w:p w14:paraId="6137ED84">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友情提醒：拒绝接收未按照招标文件要求密封的投标文件，拒绝接收在投标文件接收截止时间后寄达（以送达签收时间为准）的投标文件，上述情况各潜在投标人充分考虑相关因素，不得就此提出任何异议。</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、公告期限</w:t>
      </w:r>
      <w:bookmarkEnd w:id="14"/>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8"/>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、其他补充事宜</w:t>
      </w:r>
      <w:bookmarkEnd w:id="15"/>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w:t>
      </w:r>
      <w:r>
        <w:rPr>
          <w:rFonts w:hint="eastAsia" w:ascii="宋体" w:hAnsi="宋体" w:cs="宋体"/>
          <w:b/>
          <w:bCs/>
          <w:color w:val="auto"/>
          <w:sz w:val="28"/>
          <w:szCs w:val="28"/>
          <w:highlight w:val="none"/>
          <w:lang w:eastAsia="zh-CN"/>
        </w:rPr>
        <w:t>不</w:t>
      </w:r>
      <w:r>
        <w:rPr>
          <w:rFonts w:hint="eastAsia" w:ascii="宋体" w:hAnsi="宋体" w:eastAsia="宋体" w:cs="宋体"/>
          <w:b/>
          <w:bCs/>
          <w:color w:val="auto"/>
          <w:sz w:val="28"/>
          <w:szCs w:val="28"/>
          <w:highlight w:val="none"/>
        </w:rPr>
        <w:t>见面开标模式</w:t>
      </w:r>
      <w:r>
        <w:rPr>
          <w:rFonts w:hint="eastAsia" w:ascii="宋体" w:hAnsi="宋体" w:eastAsia="宋体" w:cs="宋体"/>
          <w:color w:val="auto"/>
          <w:sz w:val="28"/>
          <w:szCs w:val="28"/>
          <w:highlight w:val="none"/>
        </w:rPr>
        <w:t>。</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60"/>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、凡对本次采购提出询问，请按以下方式联系</w:t>
      </w:r>
      <w:bookmarkEnd w:id="16"/>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val="en-US" w:eastAsia="zh-CN"/>
        </w:rPr>
        <w:t>启东市合作镇人民政府</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w:t>
      </w:r>
      <w:r>
        <w:rPr>
          <w:rFonts w:hint="eastAsia" w:ascii="宋体" w:hAnsi="宋体" w:cs="宋体"/>
          <w:color w:val="auto"/>
          <w:sz w:val="28"/>
          <w:szCs w:val="28"/>
          <w:highlight w:val="none"/>
          <w:lang w:val="en-US" w:eastAsia="zh-CN"/>
        </w:rPr>
        <w:t>启东市合作镇人民政府</w:t>
      </w:r>
    </w:p>
    <w:p w14:paraId="0C170603">
      <w:pPr>
        <w:adjustRightInd w:val="0"/>
        <w:snapToGrid w:val="0"/>
        <w:spacing w:line="500" w:lineRule="exact"/>
        <w:ind w:firstLine="840" w:firstLineChars="300"/>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郭先生</w:t>
      </w:r>
    </w:p>
    <w:p w14:paraId="0B490A84">
      <w:pPr>
        <w:adjustRightInd w:val="0"/>
        <w:snapToGrid w:val="0"/>
        <w:spacing w:line="500" w:lineRule="exact"/>
        <w:ind w:firstLine="840" w:firstLineChars="3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联系电话：</w:t>
      </w:r>
      <w:bookmarkStart w:id="17" w:name="OLE_LINK8"/>
      <w:bookmarkStart w:id="18" w:name="OLE_LINK9"/>
      <w:r>
        <w:rPr>
          <w:rFonts w:ascii="仿宋" w:hAnsi="仿宋" w:eastAsia="仿宋"/>
          <w:sz w:val="28"/>
          <w:szCs w:val="28"/>
        </w:rPr>
        <w:t>18912221228</w:t>
      </w:r>
      <w:bookmarkEnd w:id="17"/>
      <w:bookmarkEnd w:id="18"/>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eastAsia="zh-CN"/>
        </w:rPr>
        <w:t>江苏方桂圆工程项目管理有限公司</w:t>
      </w:r>
    </w:p>
    <w:p w14:paraId="7D633A46">
      <w:pPr>
        <w:adjustRightInd w:val="0"/>
        <w:snapToGrid w:val="0"/>
        <w:spacing w:line="500" w:lineRule="exact"/>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val="en-US" w:eastAsia="zh-CN"/>
        </w:rPr>
        <w:t>启东市汇龙镇民乐路万豪花园29幢</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袁甜甜</w:t>
      </w:r>
    </w:p>
    <w:p w14:paraId="67BF9F8E">
      <w:pPr>
        <w:adjustRightInd w:val="0"/>
        <w:snapToGrid w:val="0"/>
        <w:spacing w:line="500" w:lineRule="exact"/>
        <w:ind w:firstLine="840" w:firstLineChars="3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联系方式：0513-</w:t>
      </w:r>
      <w:r>
        <w:rPr>
          <w:rFonts w:hint="eastAsia" w:ascii="宋体" w:hAnsi="宋体" w:cs="宋体"/>
          <w:color w:val="auto"/>
          <w:sz w:val="28"/>
          <w:szCs w:val="28"/>
          <w:highlight w:val="none"/>
          <w:lang w:val="en-US" w:eastAsia="zh-CN"/>
        </w:rPr>
        <w:t>83351660</w:t>
      </w: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9" w:name="_Toc82505661"/>
      <w:bookmarkStart w:id="20" w:name="_Toc22736"/>
      <w:r>
        <w:rPr>
          <w:rFonts w:hint="eastAsia" w:ascii="宋体" w:hAnsi="宋体" w:eastAsia="宋体" w:cs="宋体"/>
          <w:bCs/>
          <w:color w:val="auto"/>
          <w:sz w:val="36"/>
          <w:szCs w:val="36"/>
          <w:highlight w:val="none"/>
        </w:rPr>
        <w:br w:type="page"/>
      </w:r>
    </w:p>
    <w:bookmarkEnd w:id="19"/>
    <w:bookmarkEnd w:id="20"/>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1" w:name="_Toc82505664"/>
      <w:bookmarkStart w:id="22" w:name="_Toc11926"/>
      <w:r>
        <w:rPr>
          <w:rFonts w:hint="eastAsia" w:ascii="宋体" w:hAnsi="宋体" w:eastAsia="宋体" w:cs="宋体"/>
          <w:b w:val="0"/>
          <w:color w:val="auto"/>
          <w:sz w:val="36"/>
          <w:szCs w:val="36"/>
          <w:highlight w:val="none"/>
        </w:rPr>
        <w:t>第二部分  响应须知</w:t>
      </w:r>
      <w:bookmarkEnd w:id="21"/>
      <w:bookmarkEnd w:id="22"/>
    </w:p>
    <w:p w14:paraId="7DB9518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23" w:name="_Toc458694821"/>
      <w:bookmarkStart w:id="24" w:name="_Toc20823276"/>
      <w:bookmarkStart w:id="25" w:name="_Toc513029204"/>
      <w:bookmarkStart w:id="26" w:name="_Toc16938520"/>
      <w:r>
        <w:rPr>
          <w:rFonts w:hint="eastAsia" w:ascii="宋体" w:hAnsi="宋体" w:eastAsia="宋体" w:cs="宋体"/>
          <w:color w:val="auto"/>
          <w:sz w:val="28"/>
          <w:szCs w:val="28"/>
          <w:highlight w:val="none"/>
        </w:rPr>
        <w:t>1</w:t>
      </w:r>
      <w:bookmarkEnd w:id="23"/>
      <w:r>
        <w:rPr>
          <w:rFonts w:hint="eastAsia" w:ascii="宋体" w:hAnsi="宋体" w:eastAsia="宋体" w:cs="宋体"/>
          <w:color w:val="auto"/>
          <w:sz w:val="28"/>
          <w:szCs w:val="28"/>
          <w:highlight w:val="none"/>
        </w:rPr>
        <w:t>.采购方式</w:t>
      </w:r>
      <w:bookmarkEnd w:id="24"/>
      <w:bookmarkEnd w:id="25"/>
      <w:bookmarkEnd w:id="26"/>
    </w:p>
    <w:p w14:paraId="1CBC353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27" w:name="_Toc513029205"/>
      <w:bookmarkStart w:id="28" w:name="_Toc16938521"/>
      <w:bookmarkStart w:id="29" w:name="_Toc20823277"/>
      <w:r>
        <w:rPr>
          <w:rFonts w:hint="eastAsia" w:ascii="宋体" w:hAnsi="宋体" w:eastAsia="宋体" w:cs="宋体"/>
          <w:color w:val="auto"/>
          <w:sz w:val="28"/>
          <w:szCs w:val="28"/>
          <w:highlight w:val="none"/>
        </w:rPr>
        <w:t>2.合格的</w:t>
      </w:r>
      <w:bookmarkEnd w:id="27"/>
      <w:bookmarkEnd w:id="28"/>
      <w:bookmarkEnd w:id="29"/>
      <w:r>
        <w:rPr>
          <w:rFonts w:hint="eastAsia" w:ascii="宋体" w:hAnsi="宋体" w:eastAsia="宋体" w:cs="宋体"/>
          <w:color w:val="auto"/>
          <w:sz w:val="28"/>
          <w:szCs w:val="28"/>
          <w:highlight w:val="none"/>
        </w:rPr>
        <w:t>响应供应商</w:t>
      </w:r>
    </w:p>
    <w:p w14:paraId="5DEE0BD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0" w:name="_Toc20823278"/>
      <w:bookmarkStart w:id="31" w:name="_Toc16938522"/>
      <w:bookmarkStart w:id="32" w:name="_Toc513029206"/>
      <w:r>
        <w:rPr>
          <w:rFonts w:hint="eastAsia" w:ascii="宋体" w:hAnsi="宋体" w:eastAsia="宋体" w:cs="宋体"/>
          <w:color w:val="auto"/>
          <w:sz w:val="28"/>
          <w:szCs w:val="28"/>
          <w:highlight w:val="none"/>
        </w:rPr>
        <w:t>3.适用法律</w:t>
      </w:r>
      <w:bookmarkEnd w:id="30"/>
      <w:bookmarkEnd w:id="31"/>
      <w:bookmarkEnd w:id="32"/>
    </w:p>
    <w:p w14:paraId="704820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3" w:name="_Toc16938523"/>
      <w:bookmarkStart w:id="34" w:name="_Toc513029207"/>
      <w:bookmarkStart w:id="35" w:name="_Toc20823279"/>
      <w:bookmarkStart w:id="36" w:name="_Toc462564067"/>
      <w:r>
        <w:rPr>
          <w:rFonts w:hint="eastAsia" w:ascii="宋体" w:hAnsi="宋体" w:eastAsia="宋体" w:cs="宋体"/>
          <w:color w:val="auto"/>
          <w:sz w:val="28"/>
          <w:szCs w:val="28"/>
          <w:highlight w:val="none"/>
        </w:rPr>
        <w:t>4.响应费用</w:t>
      </w:r>
      <w:bookmarkEnd w:id="33"/>
      <w:bookmarkEnd w:id="34"/>
      <w:bookmarkEnd w:id="35"/>
      <w:bookmarkEnd w:id="36"/>
    </w:p>
    <w:p w14:paraId="6427B14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0F3D15D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eastAsia="zh-CN"/>
        </w:rPr>
        <w:t>本次采购</w:t>
      </w:r>
      <w:r>
        <w:rPr>
          <w:rFonts w:hint="eastAsia" w:ascii="宋体" w:hAnsi="宋体" w:eastAsia="宋体" w:cs="宋体"/>
          <w:color w:val="auto"/>
          <w:sz w:val="28"/>
          <w:szCs w:val="28"/>
          <w:highlight w:val="none"/>
        </w:rPr>
        <w:t>为一次性报价，响应供应商应一次性报出不得更改的价格。本项目为固定单价合同。供应商应按照询价文件的要求编制报价文件，报价文件应对询价文件提出的要求和条件作出实质性响应。否则，均被视为无效投标文件。本次报价包括全部货物和服务所发生的费用，以及为完成上述内容所必须的相应附件、货物运输、人工费、材料费、搬运（二次搬运）、装卸、分发、上楼、安装、调式、使用、运输保险、验收、税金、检测、售后质保服务等所有相关费用。无论本文件是否以文字形式规定，报价供应商应具备足够的专业知识和能力判定本项目所需的一切材料、服务、材料检测等各种未预见费用，采购方不接受任何可选择的报价，成交供应商也不得在供货期间提出任何增加费用的要求，更不得减少供货数量，不得降低货物质量。请各供应商在报价时请充分考虑各种因素</w:t>
      </w:r>
      <w:r>
        <w:rPr>
          <w:rFonts w:hint="eastAsia" w:ascii="宋体" w:hAnsi="宋体" w:eastAsia="宋体" w:cs="宋体"/>
          <w:color w:val="auto"/>
          <w:sz w:val="28"/>
          <w:szCs w:val="28"/>
          <w:highlight w:val="none"/>
          <w:lang w:val="en-US" w:eastAsia="zh-CN"/>
        </w:rPr>
        <w:t>。</w:t>
      </w:r>
    </w:p>
    <w:p w14:paraId="1F988AF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7" w:name="_Toc20823284"/>
      <w:bookmarkStart w:id="38" w:name="_Toc16938528"/>
      <w:bookmarkStart w:id="39" w:name="_Toc462564071"/>
      <w:bookmarkStart w:id="40" w:name="_Toc513029212"/>
      <w:r>
        <w:rPr>
          <w:rFonts w:hint="eastAsia" w:ascii="宋体" w:hAnsi="宋体" w:eastAsia="宋体" w:cs="宋体"/>
          <w:color w:val="auto"/>
          <w:sz w:val="28"/>
          <w:szCs w:val="28"/>
          <w:highlight w:val="none"/>
        </w:rPr>
        <w:t>3.询价采购文件的修改</w:t>
      </w:r>
      <w:bookmarkEnd w:id="37"/>
      <w:bookmarkEnd w:id="38"/>
      <w:bookmarkEnd w:id="39"/>
      <w:bookmarkEnd w:id="40"/>
    </w:p>
    <w:p w14:paraId="154B048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w:t>
      </w:r>
      <w:r>
        <w:rPr>
          <w:rFonts w:hint="eastAsia" w:ascii="宋体" w:hAnsi="宋体" w:cs="宋体"/>
          <w:color w:val="auto"/>
          <w:sz w:val="28"/>
          <w:szCs w:val="28"/>
          <w:highlight w:val="none"/>
          <w:lang w:val="en-US" w:eastAsia="zh-CN"/>
        </w:rPr>
        <w:t>在启东市人民政府网官网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1" w:name="_Toc16938530"/>
      <w:bookmarkStart w:id="42" w:name="_Toc462564073"/>
      <w:bookmarkStart w:id="43" w:name="_Toc513029214"/>
      <w:bookmarkStart w:id="44" w:name="_Toc20823286"/>
      <w:r>
        <w:rPr>
          <w:rFonts w:hint="eastAsia" w:ascii="宋体" w:hAnsi="宋体" w:eastAsia="宋体" w:cs="宋体"/>
          <w:bCs/>
          <w:color w:val="auto"/>
          <w:sz w:val="28"/>
          <w:szCs w:val="28"/>
          <w:highlight w:val="none"/>
        </w:rPr>
        <w:t>1.响应文件的语言及度量衡单位</w:t>
      </w:r>
      <w:bookmarkEnd w:id="41"/>
      <w:bookmarkEnd w:id="42"/>
      <w:bookmarkEnd w:id="43"/>
      <w:bookmarkEnd w:id="44"/>
    </w:p>
    <w:p w14:paraId="624FBA7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5" w:name="_Toc513029215"/>
      <w:bookmarkStart w:id="46" w:name="_Toc20823287"/>
      <w:bookmarkStart w:id="47" w:name="_Toc16938531"/>
      <w:bookmarkStart w:id="48" w:name="_Toc462564074"/>
      <w:r>
        <w:rPr>
          <w:rFonts w:hint="eastAsia" w:ascii="宋体" w:hAnsi="宋体" w:eastAsia="宋体" w:cs="宋体"/>
          <w:bCs/>
          <w:color w:val="auto"/>
          <w:sz w:val="28"/>
          <w:szCs w:val="28"/>
          <w:highlight w:val="none"/>
        </w:rPr>
        <w:t>2.响应文件构成</w:t>
      </w:r>
      <w:bookmarkEnd w:id="45"/>
      <w:bookmarkEnd w:id="46"/>
      <w:bookmarkEnd w:id="47"/>
      <w:bookmarkEnd w:id="48"/>
    </w:p>
    <w:p w14:paraId="73591FF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9" w:name="_Hlt26954838"/>
      <w:bookmarkEnd w:id="49"/>
      <w:bookmarkStart w:id="50" w:name="_Hlt26670360"/>
      <w:bookmarkEnd w:id="50"/>
      <w:bookmarkStart w:id="51" w:name="_Hlt26668975"/>
      <w:bookmarkEnd w:id="51"/>
      <w:bookmarkStart w:id="52" w:name="_Toc14577360"/>
      <w:bookmarkStart w:id="53" w:name="_Toc49090511"/>
      <w:r>
        <w:rPr>
          <w:rFonts w:hint="eastAsia" w:ascii="宋体" w:hAnsi="宋体" w:eastAsia="宋体" w:cs="宋体"/>
          <w:bCs/>
          <w:color w:val="auto"/>
          <w:sz w:val="28"/>
          <w:szCs w:val="28"/>
          <w:highlight w:val="none"/>
        </w:rPr>
        <w:t>3.响应有效期</w:t>
      </w:r>
      <w:bookmarkEnd w:id="52"/>
      <w:bookmarkEnd w:id="53"/>
    </w:p>
    <w:p w14:paraId="19A0D6E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56FE5FA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1.响应文件的递交</w:t>
      </w:r>
    </w:p>
    <w:p w14:paraId="5BEDB26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.1响应文件必须提供1份正本2份副本。</w:t>
      </w:r>
    </w:p>
    <w:p w14:paraId="610E209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.2响应文件由响应供应商的法定代表人或授权委托人提交；采购人</w:t>
      </w:r>
      <w:r>
        <w:rPr>
          <w:rFonts w:hint="eastAsia" w:ascii="宋体" w:hAnsi="宋体" w:cs="宋体"/>
          <w:b/>
          <w:bCs/>
          <w:color w:val="auto"/>
          <w:sz w:val="28"/>
          <w:szCs w:val="28"/>
          <w:highlight w:val="none"/>
          <w:lang w:val="en-US" w:eastAsia="zh-CN"/>
        </w:rPr>
        <w:t>不接收响应供应商直接送达的响应文件</w:t>
      </w:r>
      <w:r>
        <w:rPr>
          <w:rFonts w:hint="eastAsia" w:ascii="宋体" w:hAnsi="宋体" w:eastAsia="宋体" w:cs="宋体"/>
          <w:b/>
          <w:bCs/>
          <w:color w:val="auto"/>
          <w:sz w:val="28"/>
          <w:szCs w:val="28"/>
          <w:highlight w:val="none"/>
          <w:lang w:val="en-US" w:eastAsia="zh-CN"/>
        </w:rPr>
        <w:t>。</w:t>
      </w:r>
    </w:p>
    <w:p w14:paraId="260AF41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0DD04B1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.4响应供应商的响应文件分一包密封，一包报价响应文件（每包内含相应文件正副本）；</w:t>
      </w:r>
    </w:p>
    <w:p w14:paraId="3E5AA6C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.5响应供应商应在响应文件密封袋上标明：采购人名称、项目名称、响应供应商名称、响应文件名称（如：“报价响应文件”）。</w:t>
      </w:r>
    </w:p>
    <w:p w14:paraId="190659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.6所有响应文件密封袋的封口处均应加盖响应供应商印章。</w:t>
      </w:r>
    </w:p>
    <w:p w14:paraId="09ADBC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2.响应文件截止日期</w:t>
      </w:r>
    </w:p>
    <w:p w14:paraId="37DF809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 供应商递交响应文件的时间不得迟于采购公告中规定的响应文件提交截止时间。供应商应充分考虑各种风险因素，如因供应商自身原因造成的迟于投标截止时间递交，由供应商自行承担全部责任。</w:t>
      </w:r>
    </w:p>
    <w:p w14:paraId="332E116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 采购人可以按照规定，通过修改采购文件酌情延长响应截止日期，在此情况下，供应商的所有权利和义务以及供应商受制的截止日期均应以延长后新的截止日期为准。</w:t>
      </w:r>
    </w:p>
    <w:p w14:paraId="1D4F3AB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bookmarkStart w:id="54" w:name="_Toc20823299"/>
      <w:bookmarkStart w:id="55" w:name="_Toc16938543"/>
      <w:bookmarkStart w:id="56" w:name="_Toc513029227"/>
      <w:r>
        <w:rPr>
          <w:rFonts w:hint="eastAsia" w:ascii="宋体" w:hAnsi="宋体" w:eastAsia="宋体" w:cs="宋体"/>
          <w:b w:val="0"/>
          <w:bCs w:val="0"/>
          <w:color w:val="auto"/>
          <w:sz w:val="28"/>
          <w:szCs w:val="28"/>
          <w:highlight w:val="none"/>
          <w:lang w:val="en-US" w:eastAsia="zh-CN"/>
        </w:rPr>
        <w:t>3.响应文件</w:t>
      </w:r>
      <w:bookmarkEnd w:id="54"/>
      <w:bookmarkEnd w:id="55"/>
      <w:bookmarkEnd w:id="56"/>
      <w:r>
        <w:rPr>
          <w:rFonts w:hint="eastAsia" w:ascii="宋体" w:hAnsi="宋体" w:eastAsia="宋体" w:cs="宋体"/>
          <w:b w:val="0"/>
          <w:bCs w:val="0"/>
          <w:color w:val="auto"/>
          <w:sz w:val="28"/>
          <w:szCs w:val="28"/>
          <w:highlight w:val="none"/>
          <w:lang w:val="en-US" w:eastAsia="zh-CN"/>
        </w:rPr>
        <w:t>的拒收</w:t>
      </w:r>
    </w:p>
    <w:p w14:paraId="0AE7209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采购人拒绝接收在其规定的响应截止时间后递交的任何响应文件。未在规定的响应截止时间内递交响应文件的，询价小组将视其放弃参与本项目采购活动。</w:t>
      </w:r>
      <w:bookmarkStart w:id="57" w:name="_Toc20823300"/>
      <w:bookmarkStart w:id="58" w:name="_Toc16938544"/>
      <w:bookmarkStart w:id="59" w:name="_Toc513029228"/>
    </w:p>
    <w:p w14:paraId="69F243D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4.响应文件的修改</w:t>
      </w:r>
      <w:bookmarkEnd w:id="57"/>
      <w:bookmarkEnd w:id="58"/>
      <w:bookmarkEnd w:id="59"/>
    </w:p>
    <w:p w14:paraId="2BD9081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4.1 在响应文件提交截止时间之后，响应供应商不得对其响应文件作任何修改。</w:t>
      </w:r>
    </w:p>
    <w:p w14:paraId="1BF8D20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4.2 </w:t>
      </w:r>
      <w:r>
        <w:rPr>
          <w:rFonts w:hint="eastAsia" w:ascii="宋体" w:hAnsi="宋体" w:eastAsia="宋体" w:cs="宋体"/>
          <w:b/>
          <w:bCs/>
          <w:color w:val="auto"/>
          <w:sz w:val="28"/>
          <w:szCs w:val="28"/>
          <w:highlight w:val="none"/>
          <w:lang w:val="en-US" w:eastAsia="zh-CN"/>
        </w:rPr>
        <w:t>在响应文件提交截止时间至采购文件中规定的响应有效期满之间的这段时间内，响应供应商不得撤回其响应。</w:t>
      </w:r>
    </w:p>
    <w:p w14:paraId="1B6384E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4356BA2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1.询价小组</w:t>
      </w:r>
    </w:p>
    <w:p w14:paraId="7130C87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1.1开标后，</w:t>
      </w:r>
      <w:r>
        <w:rPr>
          <w:rFonts w:hint="eastAsia" w:ascii="宋体" w:hAnsi="宋体" w:cs="宋体"/>
          <w:sz w:val="28"/>
          <w:szCs w:val="28"/>
          <w:lang w:val="en-US" w:eastAsia="zh-CN"/>
        </w:rPr>
        <w:t>采购人</w:t>
      </w:r>
      <w:r>
        <w:rPr>
          <w:rFonts w:hint="eastAsia" w:ascii="宋体" w:hAnsi="宋体" w:eastAsia="宋体" w:cs="宋体"/>
          <w:sz w:val="28"/>
          <w:szCs w:val="28"/>
        </w:rPr>
        <w:t>将立即组织询价小组进行评标。</w:t>
      </w:r>
    </w:p>
    <w:p w14:paraId="7787EDB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1.2询价小组由政府采购评审专家和采购人代表组成，且人员构成符合政府采购有关规定。</w:t>
      </w:r>
    </w:p>
    <w:p w14:paraId="34B8BB4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1.3询价小组应当按照客观、公正、审慎的原则评审响应供应商的响应文件。</w:t>
      </w:r>
    </w:p>
    <w:p w14:paraId="2DF5C5F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2.响应的澄清</w:t>
      </w:r>
    </w:p>
    <w:p w14:paraId="48B7BA5E">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2.1评审期间，为有助于对响应文件的审查、评价和比较，询价小组有权要求供应商对其响应文件进行澄清，但并非对每个供应商都作澄清要求。</w:t>
      </w:r>
    </w:p>
    <w:p w14:paraId="4B757FBD">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2.2接到询价小组澄清要求的供应商应派人按询价小组规定的时间和格式作出澄清，澄清的内容作为响应文件的补充部分，但响应的价格和实质性的内容不得做任何更改。</w:t>
      </w:r>
    </w:p>
    <w:p w14:paraId="75B25C75">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2.3接到询价小组澄清要求的供应商如未按规定做出澄清，其风险由供应商自行承担。</w:t>
      </w:r>
    </w:p>
    <w:p w14:paraId="5691FCC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3.对响应文件的初审</w:t>
      </w:r>
    </w:p>
    <w:p w14:paraId="399C0789">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3.1响应文件初审分为资格性检查和符合性检查。</w:t>
      </w:r>
    </w:p>
    <w:p w14:paraId="31D9DC0D">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（1）资格性检查：依据法律法规和采购文件的规定，询价小组对响应文件中的资格证明文件等进行审查，以确定供应商是否具备参加询价的资格。</w:t>
      </w:r>
    </w:p>
    <w:p w14:paraId="0BFB7DD7">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资格性审查未通过的响应供应商作无效响应处理。</w:t>
      </w:r>
    </w:p>
    <w:p w14:paraId="4A175182">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7B9ECF1A">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（3）未通过资格性审查或符合性审查的响应供应商，</w:t>
      </w:r>
      <w:r>
        <w:rPr>
          <w:rFonts w:hint="eastAsia" w:ascii="宋体" w:hAnsi="宋体" w:cs="宋体"/>
          <w:sz w:val="28"/>
          <w:szCs w:val="28"/>
          <w:lang w:val="en-US" w:eastAsia="zh-CN"/>
        </w:rPr>
        <w:t>采购人</w:t>
      </w:r>
      <w:r>
        <w:rPr>
          <w:rFonts w:hint="eastAsia" w:ascii="宋体" w:hAnsi="宋体" w:eastAsia="宋体" w:cs="宋体"/>
          <w:sz w:val="28"/>
          <w:szCs w:val="28"/>
        </w:rPr>
        <w:t>将告知其未通过资格性审查或符合性审查的原因</w:t>
      </w:r>
      <w:r>
        <w:rPr>
          <w:rFonts w:hint="eastAsia" w:ascii="宋体" w:hAnsi="宋体" w:eastAsia="宋体" w:cs="宋体"/>
          <w:bCs/>
          <w:sz w:val="28"/>
          <w:szCs w:val="28"/>
        </w:rPr>
        <w:t>，评审结束后，</w:t>
      </w:r>
      <w:r>
        <w:rPr>
          <w:rFonts w:hint="eastAsia" w:ascii="宋体" w:hAnsi="宋体" w:cs="宋体"/>
          <w:bCs/>
          <w:sz w:val="28"/>
          <w:szCs w:val="28"/>
          <w:lang w:val="en-US" w:eastAsia="zh-CN"/>
        </w:rPr>
        <w:t>采购人</w:t>
      </w:r>
      <w:r>
        <w:rPr>
          <w:rFonts w:hint="eastAsia" w:ascii="宋体" w:hAnsi="宋体" w:eastAsia="宋体" w:cs="宋体"/>
          <w:bCs/>
          <w:sz w:val="28"/>
          <w:szCs w:val="28"/>
        </w:rPr>
        <w:t>将不再告知未通过资格审查或符合性审查的原因。</w:t>
      </w:r>
    </w:p>
    <w:p w14:paraId="167C0159">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bCs/>
          <w:sz w:val="28"/>
          <w:szCs w:val="28"/>
        </w:rPr>
        <w:t>询价小组将对确定为实质性响应的响应进行进一步审核，看其是否有计算</w:t>
      </w:r>
      <w:r>
        <w:rPr>
          <w:rFonts w:hint="eastAsia" w:ascii="宋体" w:hAnsi="宋体" w:eastAsia="宋体" w:cs="宋体"/>
          <w:sz w:val="28"/>
          <w:szCs w:val="28"/>
        </w:rPr>
        <w:t>上或累加上的算术错误，修正错误的原则如下：</w:t>
      </w:r>
    </w:p>
    <w:p w14:paraId="2E4C7233">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（1）响应文件中询价报价表内容与响应文件中相应内容不一致的，以询价报价表为准。</w:t>
      </w:r>
    </w:p>
    <w:p w14:paraId="45C5D137">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14:paraId="50F7F7C8">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（3）总价金额与按单价汇总金额不一致的，以单价金额计算结果为准。</w:t>
      </w:r>
    </w:p>
    <w:p w14:paraId="53E99476">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同时出现两种以上错误的，按照前款规定的顺序修正。</w:t>
      </w:r>
    </w:p>
    <w:p w14:paraId="42F166C8">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4200E06C">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6AE59F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3.5询价小组允许修正响应文件中不构成重大偏离的、微小的、非正规的、不一致的或不规则的地方，但这些修改不能影响任何响应供应商相应的名次排列。</w:t>
      </w:r>
    </w:p>
    <w:p w14:paraId="59BD29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F585E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非单一产品采购项目，采购文件中将载明其中的核心产品。多家响应供应商提供的核心产品为同一品牌同一型号的，按前款规定处理。</w:t>
      </w:r>
    </w:p>
    <w:p w14:paraId="0E1DD80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3.7响应供应商在询价采购活动全过程中应保持通讯畅通，并安排专人与</w:t>
      </w:r>
      <w:r>
        <w:rPr>
          <w:rFonts w:hint="eastAsia" w:ascii="宋体" w:hAnsi="宋体" w:cs="宋体"/>
          <w:sz w:val="28"/>
          <w:szCs w:val="28"/>
          <w:lang w:val="en-US" w:eastAsia="zh-CN"/>
        </w:rPr>
        <w:t>采购人</w:t>
      </w:r>
      <w:r>
        <w:rPr>
          <w:rFonts w:hint="eastAsia" w:ascii="宋体" w:hAnsi="宋体" w:eastAsia="宋体" w:cs="宋体"/>
          <w:sz w:val="28"/>
          <w:szCs w:val="28"/>
        </w:rPr>
        <w:t>及询价小组联系。</w:t>
      </w:r>
    </w:p>
    <w:p w14:paraId="29F4CB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4.无效响应及废标情形</w:t>
      </w:r>
    </w:p>
    <w:p w14:paraId="2F36647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4.1符合下列情形之一者，响应供应商响应无效：</w:t>
      </w:r>
    </w:p>
    <w:p w14:paraId="54BA1BE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（1）响应供应商未按本采购文件要求上传响应文件电子文档的，或上传的文件打不开的；</w:t>
      </w:r>
    </w:p>
    <w:p w14:paraId="02CD368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（2）同一响应供应商提交两个（含两个）以上不同的响应报价的；</w:t>
      </w:r>
    </w:p>
    <w:p w14:paraId="15B08E3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（3）响应供应商不具备采购文件中规定资格要求的；</w:t>
      </w:r>
    </w:p>
    <w:p w14:paraId="314C92E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（4）响应供应商的报价超过了采购预算或最高限价的；</w:t>
      </w:r>
    </w:p>
    <w:p w14:paraId="61AD486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（5）未通过资格性、符合性审查的；</w:t>
      </w:r>
    </w:p>
    <w:p w14:paraId="4FBF0A4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（6）不符合询价采购文件中规定的其他实质性要求和条件的；</w:t>
      </w:r>
    </w:p>
    <w:p w14:paraId="6EFB345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3613DDE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bCs/>
          <w:sz w:val="28"/>
          <w:szCs w:val="28"/>
        </w:rPr>
        <w:t>响应文件含有采购人不能接受的附加条件的；</w:t>
      </w:r>
    </w:p>
    <w:p w14:paraId="33358B5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bCs/>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sz w:val="28"/>
          <w:szCs w:val="28"/>
        </w:rPr>
        <w:t>；</w:t>
      </w:r>
    </w:p>
    <w:p w14:paraId="2830467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bCs/>
          <w:sz w:val="28"/>
          <w:szCs w:val="28"/>
        </w:rPr>
        <w:t>响应文件未按照采购文件要求</w:t>
      </w:r>
      <w:r>
        <w:rPr>
          <w:rFonts w:hint="eastAsia" w:ascii="宋体" w:hAnsi="宋体" w:eastAsia="宋体" w:cs="宋体"/>
          <w:bCs/>
          <w:sz w:val="28"/>
          <w:szCs w:val="28"/>
          <w:lang w:val="en-US" w:eastAsia="zh-CN"/>
        </w:rPr>
        <w:t>签字或</w:t>
      </w:r>
      <w:r>
        <w:rPr>
          <w:rFonts w:hint="eastAsia" w:ascii="宋体" w:hAnsi="宋体" w:cs="宋体"/>
          <w:bCs/>
          <w:sz w:val="28"/>
          <w:szCs w:val="28"/>
          <w:lang w:val="en-US" w:eastAsia="zh-CN"/>
        </w:rPr>
        <w:t>盖</w:t>
      </w:r>
      <w:r>
        <w:rPr>
          <w:rFonts w:hint="eastAsia" w:ascii="宋体" w:hAnsi="宋体" w:eastAsia="宋体" w:cs="宋体"/>
          <w:bCs/>
          <w:sz w:val="28"/>
          <w:szCs w:val="28"/>
          <w:lang w:val="en-US" w:eastAsia="zh-CN"/>
        </w:rPr>
        <w:t>章的</w:t>
      </w:r>
      <w:r>
        <w:rPr>
          <w:rFonts w:hint="eastAsia" w:ascii="宋体" w:hAnsi="宋体" w:eastAsia="宋体" w:cs="宋体"/>
          <w:sz w:val="28"/>
          <w:szCs w:val="28"/>
        </w:rPr>
        <w:t>；</w:t>
      </w:r>
    </w:p>
    <w:p w14:paraId="5AC1B3A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（11）其他法律、法规及本采购文件规定的属无效响应的情形</w:t>
      </w:r>
      <w:r>
        <w:rPr>
          <w:rFonts w:hint="eastAsia" w:ascii="宋体" w:hAnsi="宋体" w:eastAsia="宋体" w:cs="宋体"/>
          <w:sz w:val="28"/>
          <w:szCs w:val="28"/>
        </w:rPr>
        <w:t>。</w:t>
      </w:r>
    </w:p>
    <w:p w14:paraId="541690D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4.2符合下列情形之一者，本采购项目废标：</w:t>
      </w:r>
    </w:p>
    <w:p w14:paraId="00BF93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sz w:val="28"/>
          <w:szCs w:val="28"/>
        </w:rPr>
        <w:t>符合专业条件的供应商或者对采购文件作实质响应的供应商不足三家的</w:t>
      </w:r>
      <w:r>
        <w:rPr>
          <w:rFonts w:hint="eastAsia" w:ascii="宋体" w:hAnsi="宋体" w:eastAsia="宋体" w:cs="宋体"/>
          <w:sz w:val="28"/>
          <w:szCs w:val="28"/>
        </w:rPr>
        <w:t>；</w:t>
      </w:r>
    </w:p>
    <w:p w14:paraId="508F1CD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（2）所有合格响应供应商的报价均超过本项目预算金额或最高限价的；</w:t>
      </w:r>
    </w:p>
    <w:p w14:paraId="1D525B6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（3）出现影响采购公正的违法、违规行为的；</w:t>
      </w:r>
    </w:p>
    <w:p w14:paraId="7B88F73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（4）因重大变故，采购任务取消的；</w:t>
      </w:r>
    </w:p>
    <w:p w14:paraId="5081352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废标后，对于特殊紧急的采购项目，经监管部门批准后采购人可直接改变采购方式，现场继续组织采购活动。</w:t>
      </w:r>
    </w:p>
    <w:p w14:paraId="3CCB603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、成交原则</w:t>
      </w:r>
    </w:p>
    <w:p w14:paraId="1252AEA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532722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1.1询价小组将从质量和服务均能满足采购文件实质性响应要求的供应商中，按照报价由低到高顺序推荐</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名成交候选供应商，若报价相同时则通过抽签方式随机确定排名顺序，并编写评审报告。</w:t>
      </w:r>
    </w:p>
    <w:p w14:paraId="5D011B2E">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当第一中标候选人放弃中标、因不可抗力不能履行合同、不按照招标文件要求提交履约保证金，或者被查实存在影响中标结果的违法行为等情形，不符合中标条件的，招标人依法重新招标。</w:t>
      </w:r>
    </w:p>
    <w:p w14:paraId="1A52646A">
      <w:pPr>
        <w:keepNext w:val="0"/>
        <w:keepLines w:val="0"/>
        <w:pageBreakBefore w:val="0"/>
        <w:kinsoku/>
        <w:wordWrap/>
        <w:overflowPunct/>
        <w:topLinePunct w:val="0"/>
        <w:autoSpaceDE/>
        <w:autoSpaceDN/>
        <w:bidi w:val="0"/>
        <w:adjustRightInd w:val="0"/>
        <w:snapToGrid w:val="0"/>
        <w:spacing w:line="440" w:lineRule="exact"/>
        <w:ind w:firstLine="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1.2政府采购政策功能落实</w:t>
      </w:r>
    </w:p>
    <w:p w14:paraId="524229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（1）小微型企业价格扣除</w:t>
      </w:r>
    </w:p>
    <w:p w14:paraId="5C12222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本项目对小型和微型企业产品给予10%的扣除价格，用扣除后的价格参与评审。</w:t>
      </w:r>
    </w:p>
    <w:p w14:paraId="1C0CD2A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②供应商需按照采购文件的要求提供相应的《中小企业声明函》。</w:t>
      </w:r>
    </w:p>
    <w:p w14:paraId="08F4A30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③企业标准请参照《关于印发中小企业划型标准规定的通知》（工信部联企业〔2011〕300号）文件规定自行填写。</w:t>
      </w:r>
    </w:p>
    <w:p w14:paraId="688B90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（2）残疾人福利单位价格扣除</w:t>
      </w:r>
    </w:p>
    <w:p w14:paraId="6F5E7B7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本项目对残疾人福利性单位视同小型、微型企业，给予10%的价格扣除，用扣除后的价格参与评审。</w:t>
      </w:r>
    </w:p>
    <w:p w14:paraId="2A96179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②残疾人福利单位需按照采购文件的要求提供《残疾人福利性单位声明函》。</w:t>
      </w:r>
    </w:p>
    <w:p w14:paraId="18C03B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③残疾人福利单位标准请参照《关于促进残疾人就业政府采购政策的通知》（财库〔2017〕141号）。</w:t>
      </w:r>
    </w:p>
    <w:p w14:paraId="0F15DB0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（3）监狱和戒毒企业价格扣除</w:t>
      </w:r>
    </w:p>
    <w:p w14:paraId="2045904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本项目对监狱和戒毒企业（简称监狱企业）视同小型、微型企业，给予10%的价格扣除，用扣除后的价格参与评审。</w:t>
      </w:r>
    </w:p>
    <w:p w14:paraId="6836F84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14:paraId="5D4F83D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③监狱企业标准请参照《关于政府采购支持监狱企业发展有关问题的通知》（财库〔2014〕68号）。</w:t>
      </w:r>
    </w:p>
    <w:p w14:paraId="14FB7E1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（4）残疾人福利单位、监狱企业属于小型、微型企业的，不重复享受政策。</w:t>
      </w:r>
    </w:p>
    <w:p w14:paraId="76066C8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4003CB9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（6）联合体各方均为小型、微型企业（残疾人福利单位、监狱企业）的，联合体享受10%价格扣除，用扣除后的价格参与评审。</w:t>
      </w:r>
    </w:p>
    <w:p w14:paraId="60CA297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（7）专门面向中小企业采购的项目或者采购包，不再执行价格评审优惠的扶持政策。</w:t>
      </w:r>
    </w:p>
    <w:p w14:paraId="1692774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（8）根据《江苏省政府采购信用管理暂行办法》的规定，对有失信行为的供应商将根据信用评价结果按规定予以扣分或价格加成。</w:t>
      </w:r>
    </w:p>
    <w:p w14:paraId="32AB195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1.3如出现供应商最低报价相同的情况，则优先采购“环境标志产品”或“节能产品”。</w:t>
      </w:r>
    </w:p>
    <w:p w14:paraId="10FF6C8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（1）如出现最低报价相同，且响应产品均属于“环境标志产品”和“节能产品”，则将优先采购交货期短者。</w:t>
      </w:r>
    </w:p>
    <w:p w14:paraId="24B1A40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（2）如出现最低报价相同，且响应产品不能同时满足“环境标志产品”和“节能产品”（只能满足其中一项），则将优先采购交货期短者。</w:t>
      </w:r>
    </w:p>
    <w:p w14:paraId="0C6B19B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1.4如出现供应商最低报价相同的情况，且响应产品均不是“环境标志产品”或“节能产品”，则将优先采购交货期短者。</w:t>
      </w:r>
    </w:p>
    <w:p w14:paraId="3CBA901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对于同时列入环境标志产品政府采购品目清单和节能产品政府采购品目清单的产品，则其优先于只列入其中一个品目清单的产品。</w:t>
      </w:r>
    </w:p>
    <w:p w14:paraId="46D2E56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环境标志产品是指列入财政部、生态环境部最新公布的《环境标志产品政府采购品目清单》内的产品。</w:t>
      </w:r>
    </w:p>
    <w:p w14:paraId="21994F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节能产品是指列入财政部、国家发展和改革委员会最新公布的《节能产品政府采购品目清单》内的产品。</w:t>
      </w:r>
    </w:p>
    <w:p w14:paraId="07A6AB2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注意：响应主要产品如为节能及环境标志产品的，响应供应商必须提供有关证明材料。</w:t>
      </w:r>
    </w:p>
    <w:p w14:paraId="0BC4BD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本办法未尽事宜，由评标委员会依据相关法规研究确定。</w:t>
      </w:r>
    </w:p>
    <w:p w14:paraId="0089C26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成交结果公告</w:t>
      </w:r>
    </w:p>
    <w:p w14:paraId="170AA43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sz w:val="28"/>
          <w:szCs w:val="28"/>
          <w:highlight w:val="none"/>
        </w:rPr>
        <w:t>启东市人民政府</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网</w:t>
      </w:r>
      <w:r>
        <w:rPr>
          <w:rFonts w:hint="eastAsia" w:ascii="宋体" w:hAnsi="宋体" w:eastAsia="宋体" w:cs="宋体"/>
          <w:color w:val="auto"/>
          <w:sz w:val="28"/>
          <w:szCs w:val="28"/>
          <w:highlight w:val="none"/>
        </w:rPr>
        <w:t>发布成交公告，公告期限为1个工作日。</w:t>
      </w:r>
    </w:p>
    <w:p w14:paraId="68FECF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有下列情形之一的，视为响应供应商串通响应，响应无效：</w:t>
      </w:r>
    </w:p>
    <w:p w14:paraId="5B1463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keepNext w:val="0"/>
        <w:keepLines w:val="0"/>
        <w:pageBreakBefore w:val="0"/>
        <w:kinsoku/>
        <w:wordWrap/>
        <w:overflowPunct/>
        <w:topLinePunct w:val="0"/>
        <w:autoSpaceDE/>
        <w:autoSpaceDN/>
        <w:bidi w:val="0"/>
        <w:adjustRightInd w:val="0"/>
        <w:snapToGrid w:val="0"/>
        <w:spacing w:line="440" w:lineRule="exact"/>
        <w:ind w:firstLine="546" w:firstLineChars="19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keepNext w:val="0"/>
        <w:keepLines w:val="0"/>
        <w:pageBreakBefore w:val="0"/>
        <w:numPr>
          <w:ilvl w:val="0"/>
          <w:numId w:val="1"/>
        </w:numPr>
        <w:kinsoku/>
        <w:wordWrap/>
        <w:overflowPunct/>
        <w:topLinePunct w:val="0"/>
        <w:autoSpaceDE/>
        <w:autoSpaceDN/>
        <w:bidi w:val="0"/>
        <w:adjustRightInd w:val="0"/>
        <w:snapToGrid w:val="0"/>
        <w:spacing w:line="440" w:lineRule="exact"/>
        <w:ind w:firstLine="48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8"/>
        <w:keepNext w:val="0"/>
        <w:keepLines w:val="0"/>
        <w:pageBreakBefore w:val="0"/>
        <w:kinsoku/>
        <w:wordWrap/>
        <w:overflowPunct/>
        <w:topLinePunct w:val="0"/>
        <w:autoSpaceDE/>
        <w:autoSpaceDN/>
        <w:bidi w:val="0"/>
        <w:adjustRightInd w:val="0"/>
        <w:snapToGrid w:val="0"/>
        <w:spacing w:line="440" w:lineRule="exact"/>
        <w:ind w:left="420" w:firstLine="56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8"/>
        <w:keepNext w:val="0"/>
        <w:keepLines w:val="0"/>
        <w:pageBreakBefore w:val="0"/>
        <w:kinsoku/>
        <w:wordWrap/>
        <w:overflowPunct/>
        <w:topLinePunct w:val="0"/>
        <w:autoSpaceDE/>
        <w:autoSpaceDN/>
        <w:bidi w:val="0"/>
        <w:adjustRightInd w:val="0"/>
        <w:snapToGrid w:val="0"/>
        <w:spacing w:line="440" w:lineRule="exact"/>
        <w:ind w:left="420"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、授予合同</w:t>
      </w:r>
    </w:p>
    <w:p w14:paraId="0ED885D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rPr>
        <w:t>、其它说明</w:t>
      </w:r>
    </w:p>
    <w:p w14:paraId="2A52D5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olor w:val="auto"/>
          <w:sz w:val="28"/>
          <w:szCs w:val="28"/>
          <w:highlight w:val="none"/>
        </w:rPr>
      </w:pPr>
      <w:bookmarkStart w:id="60" w:name="_Toc32735"/>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0ACDBBB0">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lang w:val="en-US" w:eastAsia="zh-CN"/>
        </w:rPr>
      </w:pPr>
      <w:bookmarkStart w:id="61" w:name="_Toc82505662"/>
      <w:r>
        <w:rPr>
          <w:rFonts w:hint="eastAsia" w:ascii="宋体" w:hAnsi="宋体" w:eastAsia="宋体" w:cs="宋体"/>
          <w:b/>
          <w:bCs/>
          <w:sz w:val="28"/>
          <w:szCs w:val="28"/>
          <w:lang w:val="en-US" w:eastAsia="zh-CN"/>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E794A69">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13C497E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b/>
          <w:sz w:val="28"/>
          <w:szCs w:val="28"/>
        </w:rPr>
      </w:pPr>
      <w:r>
        <w:rPr>
          <w:rFonts w:ascii="Times New Roman" w:hAnsi="Times New Roman" w:eastAsia="方正仿宋_GBK"/>
          <w:b/>
          <w:bCs/>
          <w:sz w:val="28"/>
          <w:szCs w:val="28"/>
        </w:rPr>
        <w:t>其内容包含（备注：不限于下述内容）：</w:t>
      </w:r>
    </w:p>
    <w:p w14:paraId="3B04DF8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sz w:val="28"/>
          <w:szCs w:val="28"/>
          <w:lang w:val="en-US" w:eastAsia="zh-CN"/>
        </w:rPr>
        <w:t>采购内容</w:t>
      </w:r>
      <w:r>
        <w:rPr>
          <w:rFonts w:hint="eastAsia" w:ascii="宋体" w:hAnsi="宋体" w:eastAsia="宋体" w:cs="宋体"/>
          <w:b/>
          <w:bCs/>
          <w:sz w:val="28"/>
          <w:szCs w:val="28"/>
        </w:rPr>
        <w:t>：</w:t>
      </w:r>
      <w:r>
        <w:rPr>
          <w:rFonts w:hint="eastAsia" w:ascii="宋体" w:hAnsi="宋体" w:cs="宋体"/>
          <w:color w:val="auto"/>
          <w:sz w:val="28"/>
          <w:szCs w:val="28"/>
          <w:highlight w:val="none"/>
          <w:lang w:eastAsia="zh-CN"/>
        </w:rPr>
        <w:t>启东市合作镇周云村宜居宜业和美乡村建设项目-垃圾焚烧炉项目</w:t>
      </w:r>
      <w:r>
        <w:rPr>
          <w:rFonts w:hint="eastAsia" w:ascii="宋体" w:hAnsi="宋体" w:eastAsia="宋体" w:cs="宋体"/>
          <w:sz w:val="28"/>
          <w:szCs w:val="28"/>
          <w:lang w:val="en-US" w:eastAsia="zh-CN"/>
        </w:rPr>
        <w:t>，详见采购清单。</w:t>
      </w:r>
    </w:p>
    <w:p w14:paraId="69E9AEF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
          <w:bCs/>
          <w:color w:val="auto"/>
          <w:sz w:val="28"/>
          <w:szCs w:val="28"/>
          <w:highlight w:val="none"/>
        </w:rPr>
        <w:t>注：</w:t>
      </w:r>
      <w:r>
        <w:rPr>
          <w:rFonts w:hint="eastAsia" w:ascii="宋体" w:hAnsi="宋体" w:eastAsia="宋体" w:cs="宋体"/>
          <w:b/>
          <w:bCs/>
          <w:color w:val="auto"/>
          <w:sz w:val="28"/>
          <w:szCs w:val="28"/>
          <w:highlight w:val="none"/>
          <w:lang w:val="en-US" w:eastAsia="zh-CN"/>
        </w:rPr>
        <w:t>1.本项目核心产品为：</w:t>
      </w:r>
      <w:r>
        <w:rPr>
          <w:rFonts w:hint="eastAsia" w:ascii="宋体" w:hAnsi="宋体" w:cs="宋体"/>
          <w:b/>
          <w:bCs/>
          <w:color w:val="auto"/>
          <w:sz w:val="28"/>
          <w:szCs w:val="28"/>
          <w:highlight w:val="none"/>
          <w:lang w:val="en-US" w:eastAsia="zh-CN"/>
        </w:rPr>
        <w:t>垃圾焚烧炉</w:t>
      </w:r>
    </w:p>
    <w:p w14:paraId="489784F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1120" w:firstLineChars="400"/>
        <w:textAlignment w:val="auto"/>
        <w:rPr>
          <w:rFonts w:hint="eastAsia" w:ascii="宋体" w:hAnsi="宋体" w:eastAsia="宋体" w:cs="宋体"/>
          <w:bCs/>
          <w:color w:val="auto"/>
          <w:kern w:val="0"/>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本项目主要标的为：</w:t>
      </w:r>
      <w:r>
        <w:rPr>
          <w:rFonts w:hint="eastAsia" w:ascii="宋体" w:hAnsi="宋体" w:cs="宋体"/>
          <w:b/>
          <w:bCs/>
          <w:color w:val="auto"/>
          <w:sz w:val="28"/>
          <w:szCs w:val="28"/>
          <w:highlight w:val="none"/>
          <w:lang w:val="en-US" w:eastAsia="zh-CN"/>
        </w:rPr>
        <w:t>垃圾焚烧炉</w:t>
      </w:r>
    </w:p>
    <w:p w14:paraId="57BC784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二、采购清单</w:t>
      </w:r>
    </w:p>
    <w:tbl>
      <w:tblPr>
        <w:tblStyle w:val="15"/>
        <w:tblW w:w="0" w:type="auto"/>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21"/>
        <w:gridCol w:w="3553"/>
        <w:gridCol w:w="841"/>
        <w:gridCol w:w="955"/>
      </w:tblGrid>
      <w:tr w14:paraId="3A0B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20" w:type="dxa"/>
            <w:noWrap w:val="0"/>
            <w:vAlign w:val="center"/>
          </w:tcPr>
          <w:p w14:paraId="79EF5450">
            <w:pPr>
              <w:adjustRightInd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420" w:type="dxa"/>
            <w:noWrap w:val="0"/>
            <w:vAlign w:val="center"/>
          </w:tcPr>
          <w:p w14:paraId="2EAE6698">
            <w:pPr>
              <w:adjustRightInd w:val="0"/>
              <w:snapToGrid w:val="0"/>
              <w:spacing w:line="500" w:lineRule="exact"/>
              <w:ind w:firstLine="240" w:firstLineChars="100"/>
              <w:rPr>
                <w:rFonts w:hint="eastAsia" w:ascii="宋体" w:hAnsi="宋体" w:eastAsia="宋体" w:cs="宋体"/>
                <w:b/>
                <w:bCs/>
                <w:sz w:val="24"/>
                <w:szCs w:val="24"/>
              </w:rPr>
            </w:pPr>
            <w:r>
              <w:rPr>
                <w:rFonts w:hint="eastAsia" w:ascii="宋体" w:hAnsi="宋体" w:eastAsia="宋体" w:cs="宋体"/>
                <w:b/>
                <w:bCs/>
                <w:sz w:val="24"/>
                <w:szCs w:val="24"/>
              </w:rPr>
              <w:t>品名</w:t>
            </w:r>
          </w:p>
        </w:tc>
        <w:tc>
          <w:tcPr>
            <w:tcW w:w="3785" w:type="dxa"/>
            <w:noWrap w:val="0"/>
            <w:vAlign w:val="center"/>
          </w:tcPr>
          <w:p w14:paraId="01EBBC0F">
            <w:pPr>
              <w:adjustRightInd w:val="0"/>
              <w:snapToGrid w:val="0"/>
              <w:spacing w:line="500" w:lineRule="exact"/>
              <w:ind w:firstLine="240" w:firstLineChars="100"/>
              <w:rPr>
                <w:rFonts w:hint="eastAsia" w:ascii="宋体" w:hAnsi="宋体" w:eastAsia="宋体" w:cs="宋体"/>
                <w:b/>
                <w:bCs/>
                <w:sz w:val="24"/>
                <w:szCs w:val="24"/>
              </w:rPr>
            </w:pPr>
            <w:r>
              <w:rPr>
                <w:rFonts w:hint="eastAsia" w:ascii="宋体" w:hAnsi="宋体" w:eastAsia="宋体" w:cs="宋体"/>
                <w:b/>
                <w:bCs/>
                <w:sz w:val="24"/>
                <w:szCs w:val="24"/>
              </w:rPr>
              <w:t>规格、技术参数等要求</w:t>
            </w:r>
          </w:p>
        </w:tc>
        <w:tc>
          <w:tcPr>
            <w:tcW w:w="899" w:type="dxa"/>
            <w:noWrap w:val="0"/>
            <w:vAlign w:val="center"/>
          </w:tcPr>
          <w:p w14:paraId="4456143A">
            <w:pPr>
              <w:adjustRightInd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98" w:type="dxa"/>
            <w:noWrap w:val="0"/>
            <w:vAlign w:val="center"/>
          </w:tcPr>
          <w:p w14:paraId="398BFC9D">
            <w:pPr>
              <w:adjustRightInd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单位</w:t>
            </w:r>
          </w:p>
        </w:tc>
      </w:tr>
      <w:tr w14:paraId="2B3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20" w:type="dxa"/>
            <w:vMerge w:val="restart"/>
            <w:noWrap w:val="0"/>
            <w:vAlign w:val="center"/>
          </w:tcPr>
          <w:p w14:paraId="46469CBC">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垃圾焚烧炉（大型）</w:t>
            </w:r>
          </w:p>
        </w:tc>
        <w:tc>
          <w:tcPr>
            <w:tcW w:w="1420" w:type="dxa"/>
            <w:noWrap w:val="0"/>
            <w:vAlign w:val="center"/>
          </w:tcPr>
          <w:p w14:paraId="68F82F51">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内腔</w:t>
            </w:r>
          </w:p>
        </w:tc>
        <w:tc>
          <w:tcPr>
            <w:tcW w:w="3785" w:type="dxa"/>
            <w:noWrap w:val="0"/>
            <w:vAlign w:val="center"/>
          </w:tcPr>
          <w:p w14:paraId="36C81BC3">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≥12mm厚，耐高温，锅炉专用钢板</w:t>
            </w:r>
          </w:p>
        </w:tc>
        <w:tc>
          <w:tcPr>
            <w:tcW w:w="899" w:type="dxa"/>
            <w:vMerge w:val="restart"/>
            <w:noWrap w:val="0"/>
            <w:vAlign w:val="center"/>
          </w:tcPr>
          <w:p w14:paraId="4FB64ED8">
            <w:pPr>
              <w:adjustRightInd w:val="0"/>
              <w:snapToGrid w:val="0"/>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998" w:type="dxa"/>
            <w:vMerge w:val="restart"/>
            <w:noWrap w:val="0"/>
            <w:vAlign w:val="center"/>
          </w:tcPr>
          <w:p w14:paraId="2B834BDC">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台</w:t>
            </w:r>
          </w:p>
        </w:tc>
      </w:tr>
      <w:tr w14:paraId="32D3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0" w:type="dxa"/>
            <w:vMerge w:val="continue"/>
            <w:noWrap w:val="0"/>
            <w:vAlign w:val="center"/>
          </w:tcPr>
          <w:p w14:paraId="3A3FE3A1">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404CC3BE">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外壳</w:t>
            </w:r>
          </w:p>
        </w:tc>
        <w:tc>
          <w:tcPr>
            <w:tcW w:w="3785" w:type="dxa"/>
            <w:noWrap w:val="0"/>
            <w:vAlign w:val="center"/>
          </w:tcPr>
          <w:p w14:paraId="436F237E">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≥8mm厚度，A3钢板</w:t>
            </w:r>
          </w:p>
        </w:tc>
        <w:tc>
          <w:tcPr>
            <w:tcW w:w="899" w:type="dxa"/>
            <w:vMerge w:val="continue"/>
            <w:noWrap w:val="0"/>
            <w:vAlign w:val="top"/>
          </w:tcPr>
          <w:p w14:paraId="7725784A">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20CB2CAB">
            <w:pPr>
              <w:adjustRightInd w:val="0"/>
              <w:snapToGrid w:val="0"/>
              <w:spacing w:line="500" w:lineRule="exact"/>
              <w:ind w:firstLine="480" w:firstLineChars="200"/>
              <w:rPr>
                <w:rFonts w:hint="eastAsia" w:ascii="宋体" w:hAnsi="宋体" w:eastAsia="宋体" w:cs="宋体"/>
                <w:sz w:val="24"/>
                <w:szCs w:val="24"/>
              </w:rPr>
            </w:pPr>
          </w:p>
        </w:tc>
      </w:tr>
      <w:tr w14:paraId="7A14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20" w:type="dxa"/>
            <w:vMerge w:val="continue"/>
            <w:noWrap w:val="0"/>
            <w:vAlign w:val="center"/>
          </w:tcPr>
          <w:p w14:paraId="44183A22">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6D804D2D">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电压</w:t>
            </w:r>
          </w:p>
        </w:tc>
        <w:tc>
          <w:tcPr>
            <w:tcW w:w="3785" w:type="dxa"/>
            <w:noWrap w:val="0"/>
            <w:vAlign w:val="center"/>
          </w:tcPr>
          <w:p w14:paraId="2842ADC0">
            <w:pPr>
              <w:adjustRightInd w:val="0"/>
              <w:snapToGrid w:val="0"/>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220V</w:t>
            </w:r>
          </w:p>
        </w:tc>
        <w:tc>
          <w:tcPr>
            <w:tcW w:w="899" w:type="dxa"/>
            <w:vMerge w:val="continue"/>
            <w:noWrap w:val="0"/>
            <w:vAlign w:val="top"/>
          </w:tcPr>
          <w:p w14:paraId="63D88CC4">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419BF442">
            <w:pPr>
              <w:adjustRightInd w:val="0"/>
              <w:snapToGrid w:val="0"/>
              <w:spacing w:line="500" w:lineRule="exact"/>
              <w:ind w:firstLine="480" w:firstLineChars="200"/>
              <w:rPr>
                <w:rFonts w:hint="eastAsia" w:ascii="宋体" w:hAnsi="宋体" w:eastAsia="宋体" w:cs="宋体"/>
                <w:sz w:val="24"/>
                <w:szCs w:val="24"/>
              </w:rPr>
            </w:pPr>
          </w:p>
        </w:tc>
      </w:tr>
      <w:tr w14:paraId="0728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20" w:type="dxa"/>
            <w:vMerge w:val="continue"/>
            <w:noWrap w:val="0"/>
            <w:vAlign w:val="center"/>
          </w:tcPr>
          <w:p w14:paraId="7B09421C">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0E11FA71">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功率</w:t>
            </w:r>
          </w:p>
        </w:tc>
        <w:tc>
          <w:tcPr>
            <w:tcW w:w="3785" w:type="dxa"/>
            <w:noWrap w:val="0"/>
            <w:vAlign w:val="center"/>
          </w:tcPr>
          <w:p w14:paraId="17E3BB2F">
            <w:pPr>
              <w:adjustRightInd w:val="0"/>
              <w:snapToGrid w:val="0"/>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1100W</w:t>
            </w:r>
          </w:p>
        </w:tc>
        <w:tc>
          <w:tcPr>
            <w:tcW w:w="899" w:type="dxa"/>
            <w:vMerge w:val="continue"/>
            <w:noWrap w:val="0"/>
            <w:vAlign w:val="top"/>
          </w:tcPr>
          <w:p w14:paraId="3BFD8810">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06C713B7">
            <w:pPr>
              <w:adjustRightInd w:val="0"/>
              <w:snapToGrid w:val="0"/>
              <w:spacing w:line="500" w:lineRule="exact"/>
              <w:ind w:firstLine="480" w:firstLineChars="200"/>
              <w:rPr>
                <w:rFonts w:hint="eastAsia" w:ascii="宋体" w:hAnsi="宋体" w:eastAsia="宋体" w:cs="宋体"/>
                <w:sz w:val="24"/>
                <w:szCs w:val="24"/>
              </w:rPr>
            </w:pPr>
          </w:p>
        </w:tc>
      </w:tr>
      <w:tr w14:paraId="5BA1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0" w:type="dxa"/>
            <w:vMerge w:val="continue"/>
            <w:noWrap w:val="0"/>
            <w:vAlign w:val="center"/>
          </w:tcPr>
          <w:p w14:paraId="0E368FC1">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54682119">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处理量</w:t>
            </w:r>
          </w:p>
        </w:tc>
        <w:tc>
          <w:tcPr>
            <w:tcW w:w="3785" w:type="dxa"/>
            <w:noWrap w:val="0"/>
            <w:vAlign w:val="center"/>
          </w:tcPr>
          <w:p w14:paraId="16F140A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200-300kg/h</w:t>
            </w:r>
          </w:p>
        </w:tc>
        <w:tc>
          <w:tcPr>
            <w:tcW w:w="899" w:type="dxa"/>
            <w:vMerge w:val="continue"/>
            <w:noWrap w:val="0"/>
            <w:vAlign w:val="top"/>
          </w:tcPr>
          <w:p w14:paraId="58896759">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65AADFFB">
            <w:pPr>
              <w:adjustRightInd w:val="0"/>
              <w:snapToGrid w:val="0"/>
              <w:spacing w:line="500" w:lineRule="exact"/>
              <w:ind w:firstLine="480" w:firstLineChars="200"/>
              <w:rPr>
                <w:rFonts w:hint="eastAsia" w:ascii="宋体" w:hAnsi="宋体" w:eastAsia="宋体" w:cs="宋体"/>
                <w:sz w:val="24"/>
                <w:szCs w:val="24"/>
              </w:rPr>
            </w:pPr>
          </w:p>
        </w:tc>
      </w:tr>
      <w:tr w14:paraId="28ED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20" w:type="dxa"/>
            <w:vMerge w:val="continue"/>
            <w:noWrap w:val="0"/>
            <w:vAlign w:val="center"/>
          </w:tcPr>
          <w:p w14:paraId="7BA4864A">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50FB2D32">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外尺寸</w:t>
            </w:r>
          </w:p>
        </w:tc>
        <w:tc>
          <w:tcPr>
            <w:tcW w:w="3785" w:type="dxa"/>
            <w:noWrap w:val="0"/>
            <w:vAlign w:val="center"/>
          </w:tcPr>
          <w:p w14:paraId="1F584DDC">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1400*870*1100mm（最小要求）</w:t>
            </w:r>
          </w:p>
        </w:tc>
        <w:tc>
          <w:tcPr>
            <w:tcW w:w="899" w:type="dxa"/>
            <w:vMerge w:val="continue"/>
            <w:noWrap w:val="0"/>
            <w:vAlign w:val="top"/>
          </w:tcPr>
          <w:p w14:paraId="0173E0D1">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0192D832">
            <w:pPr>
              <w:adjustRightInd w:val="0"/>
              <w:snapToGrid w:val="0"/>
              <w:spacing w:line="500" w:lineRule="exact"/>
              <w:ind w:firstLine="480" w:firstLineChars="200"/>
              <w:rPr>
                <w:rFonts w:hint="eastAsia" w:ascii="宋体" w:hAnsi="宋体" w:eastAsia="宋体" w:cs="宋体"/>
                <w:sz w:val="24"/>
                <w:szCs w:val="24"/>
              </w:rPr>
            </w:pPr>
          </w:p>
        </w:tc>
      </w:tr>
      <w:tr w14:paraId="2913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20" w:type="dxa"/>
            <w:vMerge w:val="continue"/>
            <w:noWrap w:val="0"/>
            <w:vAlign w:val="center"/>
          </w:tcPr>
          <w:p w14:paraId="2F4AABBC">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4599930A">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内尺寸</w:t>
            </w:r>
          </w:p>
        </w:tc>
        <w:tc>
          <w:tcPr>
            <w:tcW w:w="3785" w:type="dxa"/>
            <w:noWrap w:val="0"/>
            <w:vAlign w:val="center"/>
          </w:tcPr>
          <w:p w14:paraId="6A557BF5">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1200*650mm（最小要求）</w:t>
            </w:r>
          </w:p>
        </w:tc>
        <w:tc>
          <w:tcPr>
            <w:tcW w:w="899" w:type="dxa"/>
            <w:vMerge w:val="continue"/>
            <w:noWrap w:val="0"/>
            <w:vAlign w:val="top"/>
          </w:tcPr>
          <w:p w14:paraId="16CBC8A9">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657C9118">
            <w:pPr>
              <w:adjustRightInd w:val="0"/>
              <w:snapToGrid w:val="0"/>
              <w:spacing w:line="500" w:lineRule="exact"/>
              <w:ind w:firstLine="480" w:firstLineChars="200"/>
              <w:rPr>
                <w:rFonts w:hint="eastAsia" w:ascii="宋体" w:hAnsi="宋体" w:eastAsia="宋体" w:cs="宋体"/>
                <w:sz w:val="24"/>
                <w:szCs w:val="24"/>
              </w:rPr>
            </w:pPr>
          </w:p>
        </w:tc>
      </w:tr>
      <w:tr w14:paraId="5B09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20" w:type="dxa"/>
            <w:vMerge w:val="continue"/>
            <w:noWrap w:val="0"/>
            <w:vAlign w:val="center"/>
          </w:tcPr>
          <w:p w14:paraId="0417682D">
            <w:pPr>
              <w:adjustRightInd w:val="0"/>
              <w:snapToGrid w:val="0"/>
              <w:spacing w:line="500" w:lineRule="exact"/>
              <w:ind w:firstLine="480" w:firstLineChars="200"/>
              <w:jc w:val="center"/>
              <w:rPr>
                <w:rFonts w:hint="eastAsia" w:ascii="宋体" w:hAnsi="宋体" w:eastAsia="宋体" w:cs="宋体"/>
                <w:sz w:val="24"/>
                <w:szCs w:val="24"/>
              </w:rPr>
            </w:pPr>
          </w:p>
        </w:tc>
        <w:tc>
          <w:tcPr>
            <w:tcW w:w="1420" w:type="dxa"/>
            <w:noWrap w:val="0"/>
            <w:vAlign w:val="center"/>
          </w:tcPr>
          <w:p w14:paraId="4DA49226">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重量</w:t>
            </w:r>
          </w:p>
        </w:tc>
        <w:tc>
          <w:tcPr>
            <w:tcW w:w="3785" w:type="dxa"/>
            <w:noWrap w:val="0"/>
            <w:vAlign w:val="center"/>
          </w:tcPr>
          <w:p w14:paraId="4E6E81C7">
            <w:pPr>
              <w:adjustRightInd w:val="0"/>
              <w:snapToGrid w:val="0"/>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≥850kg</w:t>
            </w:r>
          </w:p>
        </w:tc>
        <w:tc>
          <w:tcPr>
            <w:tcW w:w="899" w:type="dxa"/>
            <w:vMerge w:val="continue"/>
            <w:noWrap w:val="0"/>
            <w:vAlign w:val="top"/>
          </w:tcPr>
          <w:p w14:paraId="4AB321CC">
            <w:pPr>
              <w:adjustRightInd w:val="0"/>
              <w:snapToGrid w:val="0"/>
              <w:spacing w:line="500" w:lineRule="exact"/>
              <w:ind w:firstLine="480" w:firstLineChars="200"/>
              <w:rPr>
                <w:rFonts w:hint="eastAsia" w:ascii="宋体" w:hAnsi="宋体" w:eastAsia="宋体" w:cs="宋体"/>
                <w:sz w:val="24"/>
                <w:szCs w:val="24"/>
              </w:rPr>
            </w:pPr>
          </w:p>
        </w:tc>
        <w:tc>
          <w:tcPr>
            <w:tcW w:w="998" w:type="dxa"/>
            <w:vMerge w:val="continue"/>
            <w:noWrap w:val="0"/>
            <w:vAlign w:val="top"/>
          </w:tcPr>
          <w:p w14:paraId="62524224">
            <w:pPr>
              <w:adjustRightInd w:val="0"/>
              <w:snapToGrid w:val="0"/>
              <w:spacing w:line="500" w:lineRule="exact"/>
              <w:ind w:firstLine="480" w:firstLineChars="200"/>
              <w:rPr>
                <w:rFonts w:hint="eastAsia" w:ascii="宋体" w:hAnsi="宋体" w:eastAsia="宋体" w:cs="宋体"/>
                <w:sz w:val="24"/>
                <w:szCs w:val="24"/>
              </w:rPr>
            </w:pPr>
          </w:p>
        </w:tc>
      </w:tr>
    </w:tbl>
    <w:p w14:paraId="510E78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sz w:val="28"/>
          <w:szCs w:val="28"/>
          <w:lang w:val="en-US" w:eastAsia="zh-CN"/>
        </w:rPr>
        <w:t>交货时间及地点:</w:t>
      </w:r>
      <w:r>
        <w:rPr>
          <w:rFonts w:hint="eastAsia" w:ascii="宋体" w:hAnsi="宋体" w:eastAsia="宋体" w:cs="宋体"/>
          <w:sz w:val="28"/>
          <w:szCs w:val="28"/>
          <w:lang w:val="en-US" w:eastAsia="zh-CN"/>
        </w:rPr>
        <w:t>合同签订后，接采购单位的书面通知后15个日历天内完成供货及安装，否则按违约处理</w:t>
      </w:r>
      <w:r>
        <w:rPr>
          <w:rFonts w:hint="eastAsia" w:ascii="宋体" w:hAnsi="宋体" w:eastAsia="宋体" w:cs="宋体"/>
          <w:b w:val="0"/>
          <w:bCs w:val="0"/>
          <w:sz w:val="28"/>
          <w:szCs w:val="28"/>
          <w:lang w:val="en-US" w:eastAsia="zh-CN"/>
        </w:rPr>
        <w:t>。</w:t>
      </w:r>
    </w:p>
    <w:p w14:paraId="6454D74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交货、安装地点：</w:t>
      </w:r>
      <w:r>
        <w:rPr>
          <w:rFonts w:hint="eastAsia" w:ascii="宋体" w:hAnsi="宋体" w:eastAsia="宋体" w:cs="宋体"/>
          <w:sz w:val="28"/>
          <w:szCs w:val="28"/>
          <w:lang w:val="en-US" w:eastAsia="zh-CN"/>
        </w:rPr>
        <w:t>成交供应商应按照采购单位的要求将货物运至采购单位指定地点，并负责安装交付使用。</w:t>
      </w:r>
    </w:p>
    <w:p w14:paraId="32E6B83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sz w:val="28"/>
          <w:szCs w:val="28"/>
        </w:rPr>
        <w:t>质量要求：</w:t>
      </w:r>
      <w:r>
        <w:rPr>
          <w:rFonts w:hint="eastAsia" w:ascii="宋体" w:hAnsi="宋体" w:eastAsia="宋体" w:cs="宋体"/>
          <w:sz w:val="28"/>
          <w:szCs w:val="28"/>
          <w:lang w:val="en-US" w:eastAsia="zh-CN"/>
        </w:rPr>
        <w:t>产品必须是全新、未使用过的原装合格正品，完全符合采购文件规定的质量、规格和性能的要求，产品若有国家或行业规定的标准，必须同时达到国家或行业规定的标准</w:t>
      </w:r>
      <w:r>
        <w:rPr>
          <w:rFonts w:hint="eastAsia" w:ascii="宋体" w:hAnsi="宋体" w:eastAsia="宋体" w:cs="宋体"/>
          <w:b w:val="0"/>
          <w:bCs w:val="0"/>
          <w:sz w:val="28"/>
          <w:szCs w:val="28"/>
          <w:highlight w:val="none"/>
          <w:lang w:val="en-US" w:eastAsia="zh-CN"/>
        </w:rPr>
        <w:t>。</w:t>
      </w:r>
    </w:p>
    <w:p w14:paraId="29096F3B">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六</w:t>
      </w:r>
      <w:r>
        <w:rPr>
          <w:rFonts w:hint="eastAsia" w:ascii="宋体" w:hAnsi="宋体" w:eastAsia="宋体" w:cs="宋体"/>
          <w:b/>
          <w:bCs/>
          <w:kern w:val="2"/>
          <w:sz w:val="28"/>
          <w:szCs w:val="28"/>
          <w:highlight w:val="none"/>
          <w:lang w:val="en-US" w:eastAsia="zh-CN" w:bidi="ar-SA"/>
        </w:rPr>
        <w:t>、质保要求：</w:t>
      </w:r>
      <w:r>
        <w:rPr>
          <w:rFonts w:hint="eastAsia" w:ascii="宋体" w:hAnsi="宋体" w:eastAsia="宋体" w:cs="宋体"/>
          <w:sz w:val="28"/>
          <w:szCs w:val="28"/>
          <w:lang w:val="en-US" w:eastAsia="zh-CN"/>
        </w:rPr>
        <w:t>本项目所有货物必须提供二年全免费质保（配件+人工）并负责维修（若原厂质保期高于供应商承诺质保期的，按原厂质保期计算。自验收合格之日起计算）</w:t>
      </w:r>
      <w:r>
        <w:rPr>
          <w:rFonts w:hint="eastAsia" w:ascii="宋体" w:hAnsi="宋体" w:eastAsia="宋体" w:cs="宋体"/>
          <w:b w:val="0"/>
          <w:bCs w:val="0"/>
          <w:kern w:val="2"/>
          <w:sz w:val="28"/>
          <w:szCs w:val="28"/>
          <w:highlight w:val="none"/>
          <w:lang w:val="en-US" w:eastAsia="zh-CN" w:bidi="ar-SA"/>
        </w:rPr>
        <w:t>。</w:t>
      </w:r>
    </w:p>
    <w:p w14:paraId="580906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yellow"/>
          <w:lang w:val="en-US" w:eastAsia="zh-CN"/>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售后服务要求：</w:t>
      </w:r>
      <w:r>
        <w:rPr>
          <w:rFonts w:hint="eastAsia" w:ascii="宋体" w:hAnsi="宋体" w:eastAsia="宋体" w:cs="宋体"/>
          <w:sz w:val="28"/>
          <w:szCs w:val="28"/>
          <w:lang w:val="en-US" w:eastAsia="zh-CN"/>
        </w:rPr>
        <w:t>在质保期内，同一商品、同一质量问题连续两次维修仍无法正常使用，供应商无条件给予全套更新或退货。在免费质保期内，成交供应商在接到用户单位电话维修通知后，必须在24小时内负责修复。如需更换货物或送修，必须在12小时内提供备用货物，并在7个工作日内负责对送修货物维修完毕并送至用户单位处</w:t>
      </w:r>
      <w:r>
        <w:rPr>
          <w:rFonts w:hint="eastAsia" w:ascii="宋体" w:hAnsi="宋体" w:eastAsia="宋体" w:cs="宋体"/>
          <w:sz w:val="28"/>
          <w:szCs w:val="28"/>
          <w:highlight w:val="none"/>
          <w:lang w:val="en-US" w:eastAsia="zh-CN"/>
        </w:rPr>
        <w:t>。</w:t>
      </w:r>
    </w:p>
    <w:p w14:paraId="60A2733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3C0CE097">
      <w:pPr>
        <w:keepNext w:val="0"/>
        <w:keepLines w:val="0"/>
        <w:pageBreakBefore w:val="0"/>
        <w:widowControl w:val="0"/>
        <w:tabs>
          <w:tab w:val="left" w:pos="1875"/>
        </w:tabs>
        <w:kinsoku/>
        <w:wordWrap/>
        <w:overflowPunct/>
        <w:topLinePunct w:val="0"/>
        <w:autoSpaceDE/>
        <w:autoSpaceDN/>
        <w:bidi w:val="0"/>
        <w:spacing w:line="440" w:lineRule="exact"/>
        <w:ind w:firstLine="560" w:firstLineChars="200"/>
        <w:jc w:val="left"/>
        <w:textAlignment w:val="auto"/>
        <w:rPr>
          <w:rFonts w:hint="eastAsia" w:ascii="宋体" w:hAnsi="宋体" w:eastAsia="宋体" w:cs="宋体"/>
          <w:b/>
          <w:bCs/>
          <w:sz w:val="28"/>
          <w:szCs w:val="28"/>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w:t>
      </w:r>
      <w:r>
        <w:rPr>
          <w:rFonts w:hint="eastAsia" w:ascii="宋体" w:hAnsi="宋体" w:cs="宋体"/>
          <w:b/>
          <w:bCs/>
          <w:sz w:val="28"/>
          <w:szCs w:val="28"/>
          <w:lang w:eastAsia="zh-CN"/>
        </w:rPr>
        <w:t>验收</w:t>
      </w:r>
      <w:r>
        <w:rPr>
          <w:rFonts w:hint="eastAsia" w:ascii="宋体" w:hAnsi="宋体" w:eastAsia="宋体" w:cs="宋体"/>
          <w:b/>
          <w:bCs/>
          <w:sz w:val="28"/>
          <w:szCs w:val="28"/>
        </w:rPr>
        <w:t>：</w:t>
      </w:r>
    </w:p>
    <w:p w14:paraId="0FB97237">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宋体" w:hAnsi="宋体" w:cs="宋体"/>
          <w:sz w:val="28"/>
          <w:szCs w:val="28"/>
          <w:lang w:val="en-US" w:eastAsia="zh-CN"/>
        </w:rPr>
      </w:pPr>
      <w:r>
        <w:rPr>
          <w:rFonts w:hint="eastAsia" w:ascii="宋体" w:hAnsi="宋体" w:eastAsia="宋体" w:cs="宋体"/>
          <w:sz w:val="28"/>
          <w:szCs w:val="28"/>
          <w:lang w:val="en-US" w:eastAsia="zh-CN"/>
        </w:rPr>
        <w:t>在</w:t>
      </w:r>
      <w:r>
        <w:rPr>
          <w:rFonts w:hint="eastAsia" w:ascii="宋体" w:hAnsi="宋体" w:cs="宋体"/>
          <w:sz w:val="28"/>
          <w:szCs w:val="28"/>
          <w:lang w:val="en-US" w:eastAsia="zh-CN"/>
        </w:rPr>
        <w:t>货物运抵现场后，由采购人对到货产品的品牌、型号、规格、数量、外观、包装、出厂合格证明、相关技术资料等进行到货初验。初验合格后方可进行安装、调试、集成及试运行；初验不合格的，成交供应商应在采购人要求的时限内无条件更换、补齐或整改，由此产生的一切费用和工期延误由供应商承担。</w:t>
      </w:r>
    </w:p>
    <w:p w14:paraId="36DE87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pacing w:val="-6"/>
          <w:sz w:val="28"/>
          <w:szCs w:val="28"/>
          <w:lang w:val="en-US" w:eastAsia="zh-CN"/>
        </w:rPr>
      </w:pPr>
      <w:r>
        <w:rPr>
          <w:rFonts w:hint="eastAsia" w:ascii="宋体" w:hAnsi="宋体" w:cs="宋体"/>
          <w:sz w:val="28"/>
          <w:szCs w:val="28"/>
          <w:lang w:val="en-US" w:eastAsia="zh-CN"/>
        </w:rPr>
        <w:t>安装调试完成后，成交供应商向采购人提交最终验收申请，采购人按招投标文件要求、合同约定及国家现行相关规范标准组织最终验收，验收合格的，由采购人签发验收报告；验收不合格的，供应商应限期整改直至合格，逾期未整改或整改后仍不合格的，采购人视为项目整体验收不合格，有权终止合同履行，履约保证金不予退还，并报送相关部门处理。</w:t>
      </w:r>
    </w:p>
    <w:p w14:paraId="1D2D0597">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九、其他约定事项</w:t>
      </w:r>
    </w:p>
    <w:p w14:paraId="15CAA880">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（1）成交供应商负责货物的运输、搬运、安装等。</w:t>
      </w:r>
    </w:p>
    <w:p w14:paraId="3A98EECE">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（2）供应商所提供产品必须要完全满足采购文件中的要求，本次采购接受正偏离，不接受负偏离，否则将作无效响应处理。</w:t>
      </w:r>
    </w:p>
    <w:p w14:paraId="6B5D2A03">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eastAsia" w:ascii="宋体" w:hAnsi="宋体" w:cs="宋体"/>
          <w:b/>
          <w:bCs/>
          <w:color w:val="auto"/>
          <w:sz w:val="28"/>
          <w:szCs w:val="28"/>
          <w:highlight w:val="yellow"/>
          <w:lang w:val="en-US" w:eastAsia="zh-CN"/>
        </w:rPr>
      </w:pP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供应商必须开展安全作业，应保尽保。如果发生交通或安全措施不全等造成财产损失和人员伤亡等事故的，其责任概由供应商承担，采购人不承担任何责任。货物在指定地点安装、调试完成后，供应商需将现场打扫干净。</w:t>
      </w:r>
    </w:p>
    <w:p w14:paraId="40CA19DB">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eastAsia" w:asciiTheme="minorEastAsia" w:hAnsiTheme="minorEastAsia" w:eastAsiaTheme="minorEastAsia"/>
          <w:b/>
          <w:bCs/>
          <w:color w:val="auto"/>
          <w:sz w:val="28"/>
          <w:szCs w:val="28"/>
          <w:highlight w:val="none"/>
        </w:rPr>
      </w:pP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en-US" w:eastAsia="zh-CN"/>
        </w:rPr>
        <w:t>、</w:t>
      </w:r>
      <w:bookmarkEnd w:id="61"/>
      <w:r>
        <w:rPr>
          <w:rFonts w:hint="eastAsia" w:asciiTheme="minorEastAsia" w:hAnsiTheme="minorEastAsia" w:eastAsiaTheme="minorEastAsia"/>
          <w:b/>
          <w:bCs/>
          <w:color w:val="auto"/>
          <w:sz w:val="28"/>
          <w:szCs w:val="28"/>
          <w:highlight w:val="none"/>
        </w:rPr>
        <w:t>保证金：</w:t>
      </w:r>
    </w:p>
    <w:p w14:paraId="71CC4890">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1.投标保证金:本采购项目免收投标保证金。</w:t>
      </w:r>
    </w:p>
    <w:p w14:paraId="69DC113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履约保证金：</w:t>
      </w:r>
    </w:p>
    <w:p w14:paraId="63613DD9">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本项目成交后的履约保证金为项目成交价的10%，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5598146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成交供应商供货、安装、调试完毕并经采购人验收合格后一个月内由采购人返还，采购人若逾期退还履约保证金的，按照逾期部分的每日0.05%支付违约金。</w:t>
      </w:r>
    </w:p>
    <w:p w14:paraId="13895D73">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发生以下情况的，履约保证金不予退还或部分退还：</w:t>
      </w:r>
    </w:p>
    <w:p w14:paraId="6489B467">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a.签订合同后，成交供应商不履行合同义务的，采购人有权全额扣除履约保证金，全额不予退还，同时采购人亦有权终止合同，成交供应商还须承担相应的法律赔偿责任。</w:t>
      </w:r>
    </w:p>
    <w:p w14:paraId="4946F07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b.成交供应商在履约过程中发生违约行为，给采购人造成损失的，采购人有权在成交供应商缴纳的履约保证金中予以扣款，以弥补采购人经济损失，不足的部分成交供应商另外补齐。</w:t>
      </w:r>
    </w:p>
    <w:p w14:paraId="7A096DCD">
      <w:pPr>
        <w:pStyle w:val="13"/>
        <w:keepNext w:val="0"/>
        <w:keepLines w:val="0"/>
        <w:pageBreakBefore w:val="0"/>
        <w:kinsoku/>
        <w:wordWrap/>
        <w:overflowPunct/>
        <w:topLinePunct w:val="0"/>
        <w:autoSpaceDE/>
        <w:autoSpaceDN/>
        <w:bidi w:val="0"/>
        <w:spacing w:before="0" w:beforeAutospacing="0" w:after="0" w:afterAutospacing="0" w:line="440" w:lineRule="exact"/>
        <w:ind w:firstLine="536" w:firstLineChars="200"/>
        <w:jc w:val="both"/>
        <w:rPr>
          <w:rStyle w:val="42"/>
          <w:rFonts w:hint="eastAsia" w:ascii="宋体" w:hAnsi="宋体" w:eastAsia="宋体" w:cs="宋体"/>
          <w:spacing w:val="-6"/>
          <w:kern w:val="0"/>
          <w:sz w:val="28"/>
          <w:szCs w:val="28"/>
          <w:lang w:val="en-US" w:eastAsia="zh-CN"/>
        </w:rPr>
      </w:pPr>
      <w:r>
        <w:rPr>
          <w:rStyle w:val="42"/>
          <w:rFonts w:hint="eastAsia" w:ascii="宋体" w:hAnsi="宋体" w:cs="宋体"/>
          <w:b/>
          <w:bCs/>
          <w:spacing w:val="-6"/>
          <w:kern w:val="0"/>
          <w:sz w:val="28"/>
          <w:szCs w:val="28"/>
          <w:lang w:val="en-US" w:eastAsia="zh-CN"/>
        </w:rPr>
        <w:t>十一</w:t>
      </w:r>
      <w:r>
        <w:rPr>
          <w:rStyle w:val="42"/>
          <w:rFonts w:hint="eastAsia" w:ascii="宋体" w:hAnsi="宋体" w:eastAsia="宋体" w:cs="宋体"/>
          <w:b/>
          <w:bCs/>
          <w:spacing w:val="-6"/>
          <w:kern w:val="0"/>
          <w:sz w:val="28"/>
          <w:szCs w:val="28"/>
          <w:lang w:val="en-US" w:eastAsia="zh-CN"/>
        </w:rPr>
        <w:t>、付款方式：</w:t>
      </w:r>
      <w:bookmarkStart w:id="62" w:name="_Toc82505665"/>
      <w:r>
        <w:rPr>
          <w:rFonts w:hint="eastAsia" w:ascii="宋体" w:hAnsi="宋体" w:cs="仿宋_GB2312"/>
          <w:bCs/>
          <w:color w:val="000000"/>
          <w:sz w:val="28"/>
          <w:szCs w:val="28"/>
        </w:rPr>
        <w:t>合同签订后，货物运送到采购方指定地点安装完成，并经业主组织验收通过合格，且待上级资金拨款后，供货方提供有效发票，采购方付至合同价的80%，待审计结束，付至审计价的90%，余款在质保期（验收合格之日算起）满后一次性付清</w:t>
      </w:r>
      <w:r>
        <w:rPr>
          <w:rStyle w:val="42"/>
          <w:rFonts w:hint="eastAsia" w:ascii="宋体" w:hAnsi="宋体" w:eastAsia="宋体" w:cs="宋体"/>
          <w:b w:val="0"/>
          <w:bCs w:val="0"/>
          <w:spacing w:val="-6"/>
          <w:kern w:val="0"/>
          <w:sz w:val="28"/>
          <w:szCs w:val="28"/>
          <w:lang w:val="en-US" w:eastAsia="zh-CN"/>
        </w:rPr>
        <w:t>。</w:t>
      </w:r>
    </w:p>
    <w:p w14:paraId="56D70534">
      <w:pPr>
        <w:pStyle w:val="13"/>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firstLine="536" w:firstLineChars="200"/>
        <w:jc w:val="both"/>
        <w:rPr>
          <w:rStyle w:val="42"/>
          <w:rFonts w:hint="eastAsia" w:ascii="宋体" w:hAnsi="宋体" w:cs="宋体"/>
          <w:b/>
          <w:bCs/>
          <w:spacing w:val="-6"/>
          <w:kern w:val="0"/>
          <w:sz w:val="28"/>
          <w:szCs w:val="28"/>
          <w:lang w:val="en-US" w:eastAsia="zh-CN"/>
        </w:rPr>
      </w:pPr>
      <w:r>
        <w:rPr>
          <w:rStyle w:val="42"/>
          <w:rFonts w:hint="eastAsia" w:ascii="宋体" w:hAnsi="宋体" w:cs="宋体"/>
          <w:b/>
          <w:bCs/>
          <w:spacing w:val="-6"/>
          <w:kern w:val="0"/>
          <w:sz w:val="28"/>
          <w:szCs w:val="28"/>
          <w:lang w:val="en-US" w:eastAsia="zh-CN"/>
        </w:rPr>
        <w:t>十二、报价要求</w:t>
      </w:r>
    </w:p>
    <w:p w14:paraId="48C3B7E5">
      <w:pPr>
        <w:pStyle w:val="13"/>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firstLine="512"/>
        <w:jc w:val="both"/>
        <w:rPr>
          <w:rStyle w:val="42"/>
          <w:rFonts w:hint="eastAsia" w:ascii="宋体" w:hAnsi="宋体" w:cs="宋体"/>
          <w:spacing w:val="-6"/>
          <w:kern w:val="0"/>
          <w:sz w:val="28"/>
          <w:szCs w:val="28"/>
          <w:lang w:val="en-US" w:eastAsia="zh-CN"/>
        </w:rPr>
      </w:pPr>
      <w:r>
        <w:rPr>
          <w:rFonts w:hint="eastAsia" w:ascii="宋体" w:hAnsi="宋体" w:eastAsia="宋体" w:cs="宋体"/>
          <w:kern w:val="0"/>
          <w:sz w:val="28"/>
          <w:szCs w:val="28"/>
          <w:lang w:val="en-US" w:eastAsia="zh-CN"/>
        </w:rPr>
        <w:t>本项目为固定单价合同。供应商应按照询价文件的要求编制报价文件，报价文件应对询价文件提出的要求和条件作出实质性响应。否则，均被视为无效投标文件。本次报价包括全部货物和服务所发生的费用，以及为完成上述内容所必须的相应附件、货物运输、人工费、材料费、搬运（二次搬运）、装卸、分发、上楼、安装、调式、使用、运输保险、验收、税金、检测、售后质保服务等所有相关费用。无论本文件是否以文字形式规定，报价供应商应具备足够的专业知识和能力判定本项目所需的一切材料、服务、材料检测等各种未预见费用，采购方不接受任何可选择的报价，成交供应商也不得在供货期间提出任何增加费用的要求，更不得减少供货数量，不得降低货物质量。请各供应商在报价时请充分考虑各种因素。</w:t>
      </w:r>
    </w:p>
    <w:p w14:paraId="39E79F17">
      <w:pPr>
        <w:pStyle w:val="6"/>
        <w:ind w:firstLine="560" w:firstLineChars="200"/>
        <w:rPr>
          <w:rFonts w:asciiTheme="minorEastAsia" w:hAnsiTheme="minorEastAsia" w:eastAsiaTheme="minorEastAsia"/>
          <w:color w:val="auto"/>
          <w:highlight w:val="none"/>
        </w:rPr>
      </w:pPr>
      <w:r>
        <w:rPr>
          <w:rFonts w:hint="eastAsia" w:asciiTheme="minorEastAsia" w:hAnsiTheme="minorEastAsia" w:eastAsiaTheme="minorEastAsia"/>
          <w:b/>
          <w:color w:val="auto"/>
          <w:sz w:val="28"/>
          <w:szCs w:val="28"/>
          <w:highlight w:val="none"/>
          <w:lang w:val="en-US" w:eastAsia="zh-CN"/>
        </w:rPr>
        <w:t>十三、</w:t>
      </w:r>
      <w:r>
        <w:rPr>
          <w:rFonts w:hint="eastAsia" w:asciiTheme="minorEastAsia" w:hAnsiTheme="minorEastAsia" w:eastAsiaTheme="minorEastAsia"/>
          <w:b/>
          <w:color w:val="auto"/>
          <w:sz w:val="28"/>
          <w:szCs w:val="28"/>
          <w:highlight w:val="none"/>
        </w:rPr>
        <w:t>合同条款</w:t>
      </w:r>
    </w:p>
    <w:p w14:paraId="31A47A3F">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供货方:                            （下称供方）</w:t>
      </w:r>
    </w:p>
    <w:p w14:paraId="38E8B433">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采购方: </w:t>
      </w:r>
      <w:r>
        <w:rPr>
          <w:rFonts w:hint="eastAsia" w:ascii="宋体" w:hAnsi="宋体" w:cs="宋体"/>
          <w:sz w:val="28"/>
          <w:szCs w:val="28"/>
          <w:highlight w:val="none"/>
          <w:lang w:eastAsia="zh-CN"/>
        </w:rPr>
        <w:t>启东市合作镇人民政府</w:t>
      </w:r>
      <w:r>
        <w:rPr>
          <w:rFonts w:hint="eastAsia" w:ascii="宋体" w:hAnsi="宋体" w:eastAsia="宋体" w:cs="宋体"/>
          <w:sz w:val="28"/>
          <w:szCs w:val="28"/>
          <w:highlight w:val="none"/>
        </w:rPr>
        <w:t>（下称需方）</w:t>
      </w:r>
    </w:p>
    <w:p w14:paraId="7797AE9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签订地点: </w:t>
      </w:r>
      <w:r>
        <w:rPr>
          <w:rFonts w:hint="eastAsia" w:ascii="宋体" w:hAnsi="宋体" w:cs="宋体"/>
          <w:sz w:val="28"/>
          <w:szCs w:val="28"/>
          <w:highlight w:val="none"/>
          <w:lang w:eastAsia="zh-CN"/>
        </w:rPr>
        <w:t>启东市合作镇人民政府</w:t>
      </w:r>
      <w:r>
        <w:rPr>
          <w:rFonts w:hint="eastAsia" w:ascii="宋体" w:hAnsi="宋体" w:eastAsia="宋体" w:cs="宋体"/>
          <w:sz w:val="28"/>
          <w:szCs w:val="28"/>
          <w:highlight w:val="none"/>
        </w:rPr>
        <w:t xml:space="preserve">  签订时间: 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 年  月  日</w:t>
      </w:r>
    </w:p>
    <w:p w14:paraId="6555B38C">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依据《中华人民共和国民法典》及其他有关法律、行政法规，遵循平等、自愿、公平和诚实信用的原则，对 </w:t>
      </w:r>
      <w:r>
        <w:rPr>
          <w:rFonts w:hint="eastAsia" w:ascii="宋体" w:hAnsi="宋体" w:cs="宋体"/>
          <w:sz w:val="28"/>
          <w:szCs w:val="28"/>
          <w:highlight w:val="none"/>
          <w:u w:val="single"/>
          <w:lang w:val="en-US" w:eastAsia="zh-CN"/>
        </w:rPr>
        <w:t>启东市合作镇周云村宜居宜业和美乡村建设项目-垃圾焚烧炉项目</w:t>
      </w:r>
      <w:r>
        <w:rPr>
          <w:rFonts w:hint="eastAsia" w:ascii="宋体" w:hAnsi="宋体" w:eastAsia="宋体" w:cs="宋体"/>
          <w:sz w:val="28"/>
          <w:szCs w:val="28"/>
          <w:highlight w:val="none"/>
        </w:rPr>
        <w:t>进行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询价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采购，经过评委的严格审核评定，确定</w:t>
      </w:r>
      <w:r>
        <w:rPr>
          <w:rFonts w:hint="eastAsia" w:ascii="宋体" w:hAnsi="宋体" w:eastAsia="宋体" w:cs="宋体"/>
          <w:sz w:val="28"/>
          <w:szCs w:val="28"/>
          <w:highlight w:val="none"/>
          <w:u w:val="single"/>
        </w:rPr>
        <w:t xml:space="preserve">   （供方单位名称）   </w:t>
      </w:r>
      <w:r>
        <w:rPr>
          <w:rFonts w:hint="eastAsia" w:ascii="宋体" w:hAnsi="宋体" w:eastAsia="宋体" w:cs="宋体"/>
          <w:sz w:val="28"/>
          <w:szCs w:val="28"/>
          <w:highlight w:val="none"/>
        </w:rPr>
        <w:t>为本次成交供应商。现就本次供货事宜订立如下合同：</w:t>
      </w:r>
    </w:p>
    <w:p w14:paraId="1D976AF7">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第一条 货物供应明细：</w:t>
      </w:r>
      <w:r>
        <w:rPr>
          <w:rFonts w:hint="eastAsia" w:ascii="宋体" w:hAnsi="宋体" w:eastAsia="宋体" w:cs="宋体"/>
          <w:sz w:val="28"/>
          <w:szCs w:val="28"/>
          <w:highlight w:val="none"/>
        </w:rPr>
        <w:t>详见投标文件。</w:t>
      </w:r>
    </w:p>
    <w:p w14:paraId="0B75D17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第二条 合同金额：</w:t>
      </w:r>
      <w:r>
        <w:rPr>
          <w:rFonts w:hint="eastAsia" w:ascii="宋体" w:hAnsi="宋体" w:eastAsia="宋体" w:cs="宋体"/>
          <w:sz w:val="28"/>
          <w:szCs w:val="28"/>
          <w:highlight w:val="none"/>
        </w:rPr>
        <w:t>人民币（大写）：                  ；小写：        元。</w:t>
      </w:r>
    </w:p>
    <w:p w14:paraId="616C581B">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注：</w:t>
      </w:r>
      <w:r>
        <w:rPr>
          <w:rFonts w:hint="eastAsia" w:cs="仿宋" w:asciiTheme="minorEastAsia" w:hAnsiTheme="minorEastAsia" w:eastAsiaTheme="minorEastAsia"/>
          <w:sz w:val="28"/>
          <w:szCs w:val="28"/>
        </w:rPr>
        <w:t>本项目为固定单价合同。</w:t>
      </w:r>
      <w:r>
        <w:rPr>
          <w:rFonts w:hint="eastAsia" w:ascii="宋体" w:hAnsi="宋体" w:cs="仿宋_GB2312" w:eastAsiaTheme="minorEastAsia"/>
          <w:bCs/>
          <w:sz w:val="28"/>
          <w:szCs w:val="28"/>
          <w:lang w:eastAsia="zh-CN"/>
        </w:rPr>
        <w:t>合同价</w:t>
      </w:r>
      <w:r>
        <w:rPr>
          <w:rFonts w:hint="eastAsia" w:ascii="宋体" w:hAnsi="宋体" w:cs="仿宋_GB2312"/>
          <w:bCs/>
          <w:sz w:val="28"/>
          <w:szCs w:val="28"/>
        </w:rPr>
        <w:t>包括全部货物和服务所发生的费用，以及为完成上述内容所必须的相应附件、货物运输、人工费、材料费、搬运（二次搬运）、装卸、分发、上楼、安装、调式、使用、运输保险、验收、税金、检测、售后质保服务等所有相关费用。无论本文件是否以文字形式规定，</w:t>
      </w:r>
      <w:r>
        <w:rPr>
          <w:rFonts w:hint="eastAsia" w:ascii="宋体" w:hAnsi="宋体" w:cs="仿宋_GB2312"/>
          <w:bCs/>
          <w:sz w:val="28"/>
          <w:szCs w:val="28"/>
          <w:lang w:eastAsia="zh-CN"/>
        </w:rPr>
        <w:t>供方须</w:t>
      </w:r>
      <w:r>
        <w:rPr>
          <w:rFonts w:hint="eastAsia" w:ascii="宋体" w:hAnsi="宋体" w:cs="仿宋_GB2312"/>
          <w:bCs/>
          <w:sz w:val="28"/>
          <w:szCs w:val="28"/>
        </w:rPr>
        <w:t>具备足够的专业知识和能力判定本项目所需的一切材料、服务、材料检测等各种未预见费用，</w:t>
      </w:r>
      <w:r>
        <w:rPr>
          <w:rFonts w:hint="eastAsia" w:ascii="宋体" w:hAnsi="宋体" w:cs="仿宋_GB2312"/>
          <w:bCs/>
          <w:sz w:val="28"/>
          <w:szCs w:val="28"/>
          <w:lang w:eastAsia="zh-CN"/>
        </w:rPr>
        <w:t>需方</w:t>
      </w:r>
      <w:r>
        <w:rPr>
          <w:rFonts w:hint="eastAsia" w:ascii="宋体" w:hAnsi="宋体" w:cs="仿宋_GB2312"/>
          <w:bCs/>
          <w:sz w:val="28"/>
          <w:szCs w:val="28"/>
        </w:rPr>
        <w:t>不接受任何可选择的报价，</w:t>
      </w:r>
      <w:r>
        <w:rPr>
          <w:rFonts w:hint="eastAsia" w:ascii="宋体" w:hAnsi="宋体" w:cs="仿宋_GB2312"/>
          <w:bCs/>
          <w:sz w:val="28"/>
          <w:szCs w:val="28"/>
          <w:lang w:eastAsia="zh-CN"/>
        </w:rPr>
        <w:t>供方</w:t>
      </w:r>
      <w:r>
        <w:rPr>
          <w:rFonts w:hint="eastAsia" w:ascii="宋体" w:hAnsi="宋体" w:cs="仿宋_GB2312"/>
          <w:bCs/>
          <w:sz w:val="28"/>
          <w:szCs w:val="28"/>
        </w:rPr>
        <w:t>也不得在供货期间提出任何增加费用的要求，更不得减少供货数量，不得降低货物质量。</w:t>
      </w:r>
    </w:p>
    <w:p w14:paraId="42B9B6DF">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第三条 项目实施时间和地点</w:t>
      </w:r>
    </w:p>
    <w:p w14:paraId="61622E14">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1</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货物、服务提供的时间：</w:t>
      </w:r>
      <w:r>
        <w:rPr>
          <w:rFonts w:hint="eastAsia" w:ascii="宋体" w:hAnsi="宋体" w:eastAsia="宋体" w:cs="宋体"/>
          <w:sz w:val="28"/>
          <w:szCs w:val="28"/>
          <w:lang w:val="en-US" w:eastAsia="zh-CN"/>
        </w:rPr>
        <w:t>合同签订后，接需方的书面通知后15个日历天内完成供货及安装，否则按违约处理</w:t>
      </w:r>
      <w:r>
        <w:rPr>
          <w:rFonts w:hint="eastAsia" w:ascii="宋体" w:hAnsi="宋体" w:eastAsia="宋体" w:cs="宋体"/>
          <w:sz w:val="28"/>
          <w:szCs w:val="28"/>
          <w:highlight w:val="none"/>
          <w:lang w:val="zh-CN" w:eastAsia="zh-CN"/>
        </w:rPr>
        <w:t>。</w:t>
      </w:r>
    </w:p>
    <w:p w14:paraId="3284F8B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2.货物、服务提供的地点：</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应按照</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的要求将货物运至</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指定地点，并负责安装交付使用</w:t>
      </w:r>
      <w:r>
        <w:rPr>
          <w:rFonts w:hint="eastAsia" w:ascii="宋体" w:hAnsi="宋体" w:eastAsia="宋体" w:cs="宋体"/>
          <w:sz w:val="28"/>
          <w:szCs w:val="28"/>
          <w:highlight w:val="none"/>
        </w:rPr>
        <w:t>。</w:t>
      </w:r>
    </w:p>
    <w:p w14:paraId="55149195">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第四条 质量要求及保修及后续（售后）服务</w:t>
      </w:r>
    </w:p>
    <w:p w14:paraId="747D9B5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质量要求：</w:t>
      </w:r>
      <w:r>
        <w:rPr>
          <w:rFonts w:hint="eastAsia" w:ascii="宋体" w:hAnsi="宋体" w:eastAsia="宋体" w:cs="宋体"/>
          <w:sz w:val="28"/>
          <w:szCs w:val="28"/>
          <w:lang w:val="en-US" w:eastAsia="zh-CN"/>
        </w:rPr>
        <w:t>产品必须是全新、未使用过的原装合格正品，完全符合采购文件规定的质量、规格和性能的要求，产品若有国家或行业规定的标准，必须同时达到国家或行业规定的标准</w:t>
      </w:r>
      <w:r>
        <w:rPr>
          <w:rFonts w:hint="eastAsia" w:ascii="宋体" w:hAnsi="宋体" w:eastAsia="宋体" w:cs="宋体"/>
          <w:sz w:val="28"/>
          <w:szCs w:val="28"/>
          <w:highlight w:val="none"/>
          <w:lang w:val="en-US" w:eastAsia="zh-CN"/>
        </w:rPr>
        <w:t>。</w:t>
      </w:r>
    </w:p>
    <w:p w14:paraId="7F0EB430">
      <w:pPr>
        <w:adjustRightInd w:val="0"/>
        <w:snapToGrid w:val="0"/>
        <w:spacing w:line="500" w:lineRule="exact"/>
        <w:ind w:firstLine="560" w:firstLineChars="200"/>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zh-CN"/>
        </w:rPr>
        <w:t>质保、售后服务要求：</w:t>
      </w:r>
    </w:p>
    <w:p w14:paraId="2CF80835">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(1)质量保修期：本项目所有货物必须提供二年全免费质保（配件+人工）并负责维修（若原厂质保期高于</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承诺质保期的，按原厂质保期计算。自验收合格之日起计算）。</w:t>
      </w:r>
    </w:p>
    <w:p w14:paraId="5B7FB90B">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(2)售后服务：</w:t>
      </w:r>
    </w:p>
    <w:p w14:paraId="0028356A">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在质保期内，同一商品、同一质量问题连续两次维修仍无法正常使用，</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无条件给予全套更新或退货。在免费质保期内，</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在接到用户单位电话维修通知后，必须在24小时内负责修复。如需更换货物或送修，必须在12小时内提供备用货物，并在7个工作日内负责对送修货物维修完毕并送至用户单位处</w:t>
      </w:r>
      <w:r>
        <w:rPr>
          <w:rFonts w:hint="eastAsia" w:ascii="宋体" w:hAnsi="宋体" w:eastAsia="宋体" w:cs="宋体"/>
          <w:sz w:val="28"/>
          <w:szCs w:val="28"/>
          <w:highlight w:val="none"/>
          <w:lang w:val="en-US" w:eastAsia="zh-CN"/>
        </w:rPr>
        <w:t>。</w:t>
      </w:r>
    </w:p>
    <w:p w14:paraId="1623CECE">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2AAFF857">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第五条 验收方法</w:t>
      </w:r>
      <w:r>
        <w:rPr>
          <w:rFonts w:hint="eastAsia" w:ascii="宋体" w:hAnsi="宋体" w:eastAsia="宋体" w:cs="宋体"/>
          <w:b/>
          <w:bCs/>
          <w:sz w:val="28"/>
          <w:szCs w:val="28"/>
          <w:highlight w:val="none"/>
          <w:lang w:val="en-US" w:eastAsia="zh-CN"/>
        </w:rPr>
        <w:t>及其他</w:t>
      </w:r>
      <w:r>
        <w:rPr>
          <w:rFonts w:hint="eastAsia" w:ascii="宋体" w:hAnsi="宋体" w:eastAsia="宋体" w:cs="宋体"/>
          <w:b/>
          <w:bCs/>
          <w:sz w:val="28"/>
          <w:szCs w:val="28"/>
          <w:highlight w:val="none"/>
        </w:rPr>
        <w:t>约定事项</w:t>
      </w:r>
    </w:p>
    <w:p w14:paraId="159E3309">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zh-CN" w:eastAsia="zh-CN"/>
        </w:rPr>
        <w:t>验收：在货物运抵现场后，由采购人对到货产品的品牌、型号、规格、数量、外观、包装、出厂合格证明、相关技术资料等进行到货初验。初验合格后方可进行安装、调试、集成及试运行；初验不合格的，成交供应商应在采购人要求的时限内无条件更换、补齐或整改，由此产生的一切费用和工期延误由供应商承担。</w:t>
      </w:r>
    </w:p>
    <w:p w14:paraId="59DB76D6">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安装调试完成后，成交供应商向采购人提交最终验收申请，采购人按招投标文件要求、合同约定及国家现行相关规范标准组织最终验收，验收合格的，由采购人签发验收报告；验收不合格的，供应商应限期整改直至合格，逾期未整改或整改后仍不合格的，采购人视为项目整体验收不合格，有权终止合同履行，履约保证金不予退还，并报送相关部门处理。</w:t>
      </w:r>
    </w:p>
    <w:p w14:paraId="4CFB3C56">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2.供方</w:t>
      </w:r>
      <w:r>
        <w:rPr>
          <w:rFonts w:hint="eastAsia" w:ascii="宋体" w:hAnsi="宋体" w:eastAsia="宋体" w:cs="宋体"/>
          <w:sz w:val="28"/>
          <w:szCs w:val="28"/>
          <w:highlight w:val="none"/>
          <w:lang w:val="en-US" w:eastAsia="zh-CN"/>
        </w:rPr>
        <w:t>负责货物的运输、搬运、安装等。</w:t>
      </w:r>
    </w:p>
    <w:p w14:paraId="67E2583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3.供方</w:t>
      </w:r>
      <w:r>
        <w:rPr>
          <w:rFonts w:hint="eastAsia" w:ascii="宋体" w:hAnsi="宋体" w:eastAsia="宋体" w:cs="宋体"/>
          <w:sz w:val="28"/>
          <w:szCs w:val="28"/>
          <w:highlight w:val="none"/>
          <w:lang w:val="en-US" w:eastAsia="zh-CN"/>
        </w:rPr>
        <w:t>必须开展安全作业，应保尽保。如果发生交通或安全措施不全等造成财产损失和人员伤亡等事故的，其责任概由</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承担，</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不承担任何责任。货物在指定地点安装、调试完成后，</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需将现场打扫干净。</w:t>
      </w:r>
    </w:p>
    <w:p w14:paraId="28AFC554">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第六条 结算方式和期限</w:t>
      </w:r>
    </w:p>
    <w:p w14:paraId="1EB08EFC">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合同签订后，货物运送到</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指定地点安装完成，并经</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组织验收通过合格，且待上级资金拨款后，</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提供有效发票，</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付至合同价的80%，待审计结束，付至审计价的90%，余款在质保期（验收合格之日算起）满后一次性付清。</w:t>
      </w:r>
    </w:p>
    <w:p w14:paraId="1B8DAFF8">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第七条 税金</w:t>
      </w:r>
    </w:p>
    <w:p w14:paraId="088F57F5">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1.根据国家现行税法对供方征收的与本合同有关的一切税费均由供方负担。</w:t>
      </w:r>
    </w:p>
    <w:p w14:paraId="5B7B686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2.在中国境外发生的与本合同执行有关的一切税费均由供方负担。</w:t>
      </w:r>
    </w:p>
    <w:p w14:paraId="2B963FAE">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第八条 技术规格</w:t>
      </w:r>
    </w:p>
    <w:p w14:paraId="4316571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1.提交货物的技术规格应与招标文件的规定要求及投标文件的技术规格偏离表（如果被需方接受的话）相一致。</w:t>
      </w:r>
    </w:p>
    <w:p w14:paraId="592137EC">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2.若技术规格中无相应说明，则以最新颁布的相应国家标准及规范为准，无国家标准的，按行业标准执行，无国家和行业标准的，按企业标准执行。</w:t>
      </w:r>
    </w:p>
    <w:p w14:paraId="68262AA0">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第九条 担保条款</w:t>
      </w:r>
    </w:p>
    <w:p w14:paraId="06E93EB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项目成交后的履约保证金为项目成交价的10%，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6BF2489C">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2.成交供应商供货、安装、调试完毕并经采购人验收合格后一个月内由采购人返还，采购人若逾期退还履约保证金的，按照逾期部分的每日0.05%支付违约金。</w:t>
      </w:r>
    </w:p>
    <w:p w14:paraId="6B9D489F">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3．发生以下情况的，履约保证金不予退还或部分退还：</w:t>
      </w:r>
    </w:p>
    <w:p w14:paraId="5CB542F1">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a.签订合同后，成交供应商不履行合同义务的，采购人有权全额扣除履约保证金，全额不予退还，同时采购人亦有权终止合同，成交供应商还须承担相应的法律赔偿责任。</w:t>
      </w:r>
    </w:p>
    <w:p w14:paraId="2B91E183">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b.成交供应商在履约过程中发生违约行为，给采购人造成损失的，采购人有权在成交供应商缴纳的履约保证金中予以扣款，以弥补采购人经济损失，不足的部分成交供应商另外补齐。</w:t>
      </w:r>
    </w:p>
    <w:p w14:paraId="115AF91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第十条 违约责任：</w:t>
      </w:r>
      <w:r>
        <w:rPr>
          <w:rFonts w:hint="eastAsia" w:ascii="宋体" w:hAnsi="宋体" w:eastAsia="宋体" w:cs="宋体"/>
          <w:sz w:val="28"/>
          <w:szCs w:val="28"/>
          <w:highlight w:val="none"/>
        </w:rPr>
        <w:t>任何一方违约,均须依照下列约定向对方支付违约金。</w:t>
      </w:r>
    </w:p>
    <w:p w14:paraId="16D5F1D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1.供方逾期交货的违约金，如因供方原因延期交货的，每推迟一天加罚</w:t>
      </w:r>
      <w:r>
        <w:rPr>
          <w:rFonts w:hint="eastAsia" w:ascii="宋体" w:hAnsi="宋体" w:cs="宋体"/>
          <w:sz w:val="28"/>
          <w:szCs w:val="28"/>
          <w:highlight w:val="none"/>
          <w:lang w:val="en-US" w:eastAsia="zh-CN"/>
        </w:rPr>
        <w:t>2000</w:t>
      </w:r>
      <w:r>
        <w:rPr>
          <w:rFonts w:hint="eastAsia" w:ascii="宋体" w:hAnsi="宋体" w:eastAsia="宋体" w:cs="宋体"/>
          <w:sz w:val="28"/>
          <w:szCs w:val="28"/>
          <w:highlight w:val="none"/>
        </w:rPr>
        <w:t>元。在此延误期间，遇材料价格上涨，由供方承担；遇材料价格下跌，由需方受益。如果延误工期超过15日历天，需方有权另行选定其他供方来完成剩余货物，并加收剩余货物价值20%的管理费。</w:t>
      </w:r>
    </w:p>
    <w:p w14:paraId="7B81B86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2．需方逾期付款的违约金，按照逾期部分的货款总值的每日0.05%支付。</w:t>
      </w:r>
    </w:p>
    <w:p w14:paraId="42CA00C5">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方交付货物时质量明显不符合规定的，应在需方规定的时间内再次供货，逾期供货或再次提交的货物质量仍不符合规定的，需方有权没收全部履约保证金，终止本合同，并要求供方赔偿需方由此造成的损失。</w:t>
      </w:r>
    </w:p>
    <w:p w14:paraId="560AD54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4.供方违反合同约定进行转包或违法分包的，需方有权单方解除合同，并要求供方承担合同签约价10%的违约金；</w:t>
      </w:r>
    </w:p>
    <w:p w14:paraId="12D399C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5.质量保修内供方超时或未在规定的时间内及时处理故障，每次罚</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000元违约金。</w:t>
      </w:r>
    </w:p>
    <w:p w14:paraId="2E66150F">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第十一条 其它约定事项：</w:t>
      </w:r>
    </w:p>
    <w:p w14:paraId="350ED60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1．供、需双方如在本合同的履行过程中，对标的物的质量问题发生争议时，以质量技术监督部门或有权鉴定部门的质量鉴定结果为准，由此所产生的一切费用由供方承担。</w:t>
      </w:r>
    </w:p>
    <w:p w14:paraId="56ABD18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供方不履行本合同第四条所规定的质量要求及保修及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14:paraId="0A1354B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除不可抗力的原因外，供方超过合同规定的履行期限内仍不能交付本合同项目货物的，则视为不能交货，需方有权选择决定是否继续履行本合同，如需方决定终止本合同的履行，则供方必须承担不能交货的违约责任，履约保证金不予退还，同时双方出具书面材料。</w:t>
      </w:r>
    </w:p>
    <w:p w14:paraId="1657E1DD">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安全责任：本项目货物供货、运输、安装及后续服务过程中发生的一切安全事故（包括但不限于供方人员的人身伤亡、财产损失及对第三方造成的人身或财产损害）均由供方承担全部责任及费用，与需方无关。若因此导致需方承担责任或遭受损失的，需方有权向供方全额追偿。</w:t>
      </w:r>
    </w:p>
    <w:p w14:paraId="6E50AA0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知识产权：供方应保证需方免除且供方承担由于需方在其本国使用该设备或设备任何一部分时而引起第三方提出的侵犯专利权、商标权或工业设计权的起诉、行动、行政程序索赔、请求等以及需方为此而产生的损失和损害、费用和支出（包括律师费）。</w:t>
      </w:r>
    </w:p>
    <w:p w14:paraId="6E801EB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6.供方对需方提出货物或服务有欺诈行为的，依照《中华人民共和国消费者权益保护法》的规定承担损害赔偿责任。</w:t>
      </w:r>
    </w:p>
    <w:p w14:paraId="7591167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val="en-US" w:eastAsia="zh-CN"/>
        </w:rPr>
        <w:t>.需方</w:t>
      </w:r>
      <w:r>
        <w:rPr>
          <w:rFonts w:hint="eastAsia" w:ascii="宋体" w:hAnsi="宋体" w:eastAsia="宋体" w:cs="宋体"/>
          <w:sz w:val="28"/>
          <w:szCs w:val="28"/>
          <w:highlight w:val="none"/>
        </w:rPr>
        <w:t>有权对到场的货物成品进行抽检，所发生的检测费用由</w:t>
      </w:r>
      <w:r>
        <w:rPr>
          <w:rFonts w:hint="eastAsia" w:ascii="宋体" w:hAnsi="宋体" w:eastAsia="宋体" w:cs="宋体"/>
          <w:sz w:val="28"/>
          <w:szCs w:val="28"/>
          <w:highlight w:val="none"/>
          <w:lang w:val="en-US" w:eastAsia="zh-CN"/>
        </w:rPr>
        <w:t>供方</w:t>
      </w:r>
      <w:r>
        <w:rPr>
          <w:rFonts w:hint="eastAsia" w:ascii="宋体" w:hAnsi="宋体" w:eastAsia="宋体" w:cs="宋体"/>
          <w:sz w:val="28"/>
          <w:szCs w:val="28"/>
          <w:highlight w:val="none"/>
        </w:rPr>
        <w:t>承担。检测不合格的，该批次的货物作退场处理，同时</w:t>
      </w:r>
      <w:r>
        <w:rPr>
          <w:rFonts w:hint="eastAsia" w:ascii="宋体" w:hAnsi="宋体" w:eastAsia="宋体" w:cs="宋体"/>
          <w:sz w:val="28"/>
          <w:szCs w:val="28"/>
          <w:highlight w:val="none"/>
          <w:lang w:val="en-US" w:eastAsia="zh-CN"/>
        </w:rPr>
        <w:t>需方</w:t>
      </w:r>
      <w:r>
        <w:rPr>
          <w:rFonts w:hint="eastAsia" w:ascii="宋体" w:hAnsi="宋体" w:eastAsia="宋体" w:cs="宋体"/>
          <w:sz w:val="28"/>
          <w:szCs w:val="28"/>
          <w:highlight w:val="none"/>
        </w:rPr>
        <w:t>保留追究相关损失的权利。</w:t>
      </w:r>
    </w:p>
    <w:p w14:paraId="15A0BEA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本项目为交钥匙工程，在合同履行过程中，按相关部门的要求进行优化调整，确保项目能通过验收并投入正常使用，相关调整费用（包括并不限于数量、尺寸、参数、颜色、工艺要求的变化等）已包含在合同价中，采购人不再增加额外费用。</w:t>
      </w:r>
    </w:p>
    <w:p w14:paraId="1A7A8958">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第十二条 解决合同争议的方式</w:t>
      </w:r>
    </w:p>
    <w:p w14:paraId="25D47C81">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本合同履行过程中如发生争议，供、需双方应协商解决，如协商不成，则任何一方均可向  </w:t>
      </w:r>
      <w:r>
        <w:rPr>
          <w:rFonts w:hint="eastAsia" w:ascii="宋体" w:hAnsi="宋体" w:eastAsia="宋体" w:cs="宋体"/>
          <w:sz w:val="28"/>
          <w:szCs w:val="28"/>
          <w:highlight w:val="none"/>
          <w:u w:val="single"/>
        </w:rPr>
        <w:t>启东市</w:t>
      </w:r>
      <w:r>
        <w:rPr>
          <w:rFonts w:hint="eastAsia" w:ascii="宋体" w:hAnsi="宋体" w:eastAsia="宋体" w:cs="宋体"/>
          <w:sz w:val="28"/>
          <w:szCs w:val="28"/>
          <w:highlight w:val="none"/>
        </w:rPr>
        <w:t xml:space="preserve">  人民法院提起诉讼。</w:t>
      </w:r>
    </w:p>
    <w:p w14:paraId="04DE52E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第十三条 本合同由供、需双方签订并加盖公章（同时双方应加盖骑缝章）后生效，合同一式六份（供需双方各执三份）。</w:t>
      </w:r>
    </w:p>
    <w:p w14:paraId="24B6CBF8">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供方（盖章）：                    需方（盖章）：            </w:t>
      </w:r>
    </w:p>
    <w:p w14:paraId="2FF11F13">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                      法定代表人：             </w:t>
      </w:r>
    </w:p>
    <w:p w14:paraId="48528061">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委托代理人：                      委托代理人：            </w:t>
      </w:r>
    </w:p>
    <w:p w14:paraId="0A8BD0A8">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联系电话：              </w:t>
      </w:r>
    </w:p>
    <w:p w14:paraId="13A71381">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开户银行：                        开户银行：</w:t>
      </w:r>
    </w:p>
    <w:p w14:paraId="4C1A8DF2">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银行账号：                        银行账号：</w:t>
      </w:r>
    </w:p>
    <w:p w14:paraId="368F6C99">
      <w:pPr>
        <w:pStyle w:val="6"/>
        <w:rPr>
          <w:rFonts w:hint="eastAsia"/>
        </w:rPr>
      </w:pPr>
    </w:p>
    <w:p w14:paraId="0657FC45">
      <w:pP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br w:type="page"/>
      </w:r>
    </w:p>
    <w:p w14:paraId="0A3C6C5F">
      <w:pPr>
        <w:pStyle w:val="2"/>
        <w:widowControl/>
        <w:numPr>
          <w:ilvl w:val="0"/>
          <w:numId w:val="0"/>
        </w:numPr>
        <w:adjustRightInd w:val="0"/>
        <w:snapToGrid w:val="0"/>
        <w:spacing w:before="0" w:after="0" w:line="500" w:lineRule="exact"/>
        <w:jc w:val="center"/>
        <w:rPr>
          <w:rFonts w:hint="eastAsia" w:ascii="宋体" w:hAnsi="宋体" w:eastAsia="宋体" w:cs="宋体"/>
          <w:b w:val="0"/>
          <w:color w:val="auto"/>
          <w:sz w:val="36"/>
          <w:szCs w:val="36"/>
          <w:highlight w:val="none"/>
        </w:rPr>
      </w:pPr>
      <w:r>
        <w:rPr>
          <w:rFonts w:hint="eastAsia" w:ascii="宋体" w:hAnsi="宋体" w:cs="宋体"/>
          <w:b w:val="0"/>
          <w:color w:val="auto"/>
          <w:sz w:val="36"/>
          <w:szCs w:val="36"/>
          <w:highlight w:val="none"/>
          <w:lang w:eastAsia="zh-CN"/>
        </w:rPr>
        <w:t>第四部分</w:t>
      </w:r>
      <w:r>
        <w:rPr>
          <w:rFonts w:hint="eastAsia" w:ascii="宋体" w:hAnsi="宋体" w:cs="宋体"/>
          <w:b w:val="0"/>
          <w:color w:val="auto"/>
          <w:sz w:val="36"/>
          <w:szCs w:val="36"/>
          <w:highlight w:val="none"/>
          <w:lang w:val="en-US" w:eastAsia="zh-CN"/>
        </w:rPr>
        <w:t xml:space="preserve"> </w:t>
      </w:r>
      <w:r>
        <w:rPr>
          <w:rFonts w:hint="eastAsia" w:ascii="宋体" w:hAnsi="宋体" w:eastAsia="宋体" w:cs="宋体"/>
          <w:b w:val="0"/>
          <w:color w:val="auto"/>
          <w:sz w:val="36"/>
          <w:szCs w:val="36"/>
          <w:highlight w:val="none"/>
        </w:rPr>
        <w:t>响应文件</w:t>
      </w:r>
      <w:bookmarkEnd w:id="60"/>
      <w:r>
        <w:rPr>
          <w:rFonts w:hint="eastAsia" w:ascii="宋体" w:hAnsi="宋体" w:eastAsia="宋体" w:cs="宋体"/>
          <w:b w:val="0"/>
          <w:color w:val="auto"/>
          <w:sz w:val="36"/>
          <w:szCs w:val="36"/>
          <w:highlight w:val="none"/>
        </w:rPr>
        <w:t>组成</w:t>
      </w:r>
      <w:bookmarkEnd w:id="62"/>
    </w:p>
    <w:p w14:paraId="72445794">
      <w:pPr>
        <w:adjustRightInd w:val="0"/>
        <w:snapToGrid w:val="0"/>
        <w:spacing w:line="440" w:lineRule="exact"/>
        <w:ind w:firstLine="560" w:firstLineChars="200"/>
        <w:jc w:val="left"/>
        <w:rPr>
          <w:rFonts w:ascii="宋体" w:hAnsi="宋体" w:cs="宋体"/>
          <w:b/>
          <w:sz w:val="28"/>
          <w:szCs w:val="28"/>
        </w:rPr>
      </w:pPr>
      <w:r>
        <w:rPr>
          <w:rFonts w:hint="eastAsia" w:ascii="宋体" w:hAnsi="宋体" w:eastAsia="宋体" w:cs="宋体"/>
          <w:b/>
          <w:bCs/>
          <w:color w:val="auto"/>
          <w:sz w:val="28"/>
          <w:szCs w:val="28"/>
          <w:highlight w:val="none"/>
          <w:lang w:val="en-US" w:eastAsia="zh-CN"/>
        </w:rPr>
        <w:t>响应供应商的响应文件分一包密封，一包报价响应文件（每包内含相应文件正副本），</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21A4B00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p>
    <w:p w14:paraId="19396CD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及法定代表人的身份证复印件（无论法定代表人是否参加本项目投标，均须提供此项材料）</w:t>
      </w:r>
      <w:r>
        <w:rPr>
          <w:rFonts w:asciiTheme="minorEastAsia" w:hAnsiTheme="minorEastAsia" w:eastAsiaTheme="minorEastAsia"/>
          <w:color w:val="auto"/>
          <w:kern w:val="0"/>
          <w:sz w:val="28"/>
          <w:szCs w:val="28"/>
          <w:highlight w:val="none"/>
          <w:lang w:val="zh-CN"/>
        </w:rPr>
        <w:t>；</w:t>
      </w:r>
    </w:p>
    <w:p w14:paraId="2A714CE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及被授权人</w:t>
      </w:r>
      <w:r>
        <w:rPr>
          <w:rFonts w:asciiTheme="minorEastAsia" w:hAnsiTheme="minorEastAsia" w:eastAsiaTheme="minorEastAsia"/>
          <w:color w:val="auto"/>
          <w:kern w:val="0"/>
          <w:sz w:val="28"/>
          <w:szCs w:val="28"/>
          <w:highlight w:val="none"/>
          <w:lang w:val="zh-CN"/>
        </w:rPr>
        <w:t>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p>
    <w:p w14:paraId="27F3E6A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54B6EA0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6.</w:t>
      </w:r>
      <w:r>
        <w:rPr>
          <w:rFonts w:hint="eastAsia" w:asciiTheme="minorEastAsia" w:hAnsiTheme="minorEastAsia" w:eastAsiaTheme="minorEastAsia"/>
          <w:color w:val="auto"/>
          <w:kern w:val="0"/>
          <w:sz w:val="28"/>
          <w:szCs w:val="28"/>
          <w:highlight w:val="none"/>
          <w:lang w:val="en-US" w:eastAsia="zh-CN"/>
        </w:rPr>
        <w:t>提供</w:t>
      </w:r>
      <w:r>
        <w:rPr>
          <w:rFonts w:hint="eastAsia" w:asciiTheme="minorEastAsia" w:hAnsiTheme="minorEastAsia" w:eastAsiaTheme="minorEastAsia"/>
          <w:color w:val="auto"/>
          <w:kern w:val="0"/>
          <w:sz w:val="28"/>
          <w:szCs w:val="28"/>
          <w:highlight w:val="none"/>
          <w:lang w:val="zh-CN"/>
        </w:rPr>
        <w:t>有效的营业执照</w:t>
      </w:r>
      <w:r>
        <w:rPr>
          <w:rFonts w:hint="eastAsia" w:ascii="宋体" w:hAnsi="宋体" w:eastAsia="宋体" w:cs="宋体"/>
          <w:b/>
          <w:bCs/>
          <w:color w:val="000000"/>
          <w:spacing w:val="7"/>
          <w:kern w:val="0"/>
          <w:sz w:val="28"/>
          <w:szCs w:val="28"/>
          <w:highlight w:val="none"/>
          <w:shd w:val="clear" w:color="auto" w:fill="FFFFFF"/>
          <w:lang w:val="en-US" w:eastAsia="zh-CN"/>
        </w:rPr>
        <w:t>原件</w:t>
      </w:r>
      <w:r>
        <w:rPr>
          <w:rFonts w:hint="eastAsia" w:ascii="宋体" w:hAnsi="宋体" w:cs="宋体"/>
          <w:b/>
          <w:bCs/>
          <w:color w:val="000000"/>
          <w:spacing w:val="7"/>
          <w:kern w:val="0"/>
          <w:sz w:val="28"/>
          <w:szCs w:val="28"/>
          <w:highlight w:val="none"/>
          <w:shd w:val="clear" w:color="auto" w:fill="FFFFFF"/>
          <w:lang w:val="en-US" w:eastAsia="zh-CN"/>
        </w:rPr>
        <w:t>复印</w:t>
      </w:r>
      <w:r>
        <w:rPr>
          <w:rFonts w:hint="eastAsia" w:ascii="宋体" w:hAnsi="宋体" w:eastAsia="宋体" w:cs="宋体"/>
          <w:b/>
          <w:bCs/>
          <w:color w:val="000000"/>
          <w:spacing w:val="7"/>
          <w:kern w:val="0"/>
          <w:sz w:val="28"/>
          <w:szCs w:val="28"/>
          <w:highlight w:val="none"/>
          <w:shd w:val="clear" w:color="auto" w:fill="FFFFFF"/>
          <w:lang w:val="en-US" w:eastAsia="zh-CN"/>
        </w:rPr>
        <w:t>件</w:t>
      </w:r>
      <w:r>
        <w:rPr>
          <w:rFonts w:hint="eastAsia" w:asciiTheme="minorEastAsia" w:hAnsiTheme="minorEastAsia" w:eastAsiaTheme="minorEastAsia"/>
          <w:color w:val="auto"/>
          <w:kern w:val="0"/>
          <w:sz w:val="28"/>
          <w:szCs w:val="28"/>
          <w:highlight w:val="none"/>
          <w:lang w:val="zh-CN"/>
        </w:rPr>
        <w:t>；</w:t>
      </w:r>
    </w:p>
    <w:p w14:paraId="63A40B0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7.商务部分正负偏离表；（格式见附件6）</w:t>
      </w:r>
    </w:p>
    <w:p w14:paraId="233DA60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技术部分正负偏离表；（格式见附件7）</w:t>
      </w:r>
    </w:p>
    <w:p w14:paraId="4503A34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填制正负偏离表，完全响应的，请以空白表列示。不完全响应的，</w:t>
      </w:r>
    </w:p>
    <w:p w14:paraId="0C11F2E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必须在偏离表中列示；列示不全的，视同故意隐瞒。</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报价明细表（货物类）（格式见附件</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p>
    <w:p w14:paraId="4295CE8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.中小企业声明函（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w:t>
      </w:r>
    </w:p>
    <w:p w14:paraId="7177D5A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.残疾人福利性单位声明函（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w:t>
      </w:r>
    </w:p>
    <w:p w14:paraId="0F5478F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.监狱和戒毒企业证明材料（</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w:t>
      </w:r>
    </w:p>
    <w:p w14:paraId="4EBBB9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cs="Times New Roman" w:asciiTheme="minorEastAsia" w:hAnsiTheme="minorEastAsia" w:eastAsiaTheme="minorEastAsia"/>
          <w:b/>
          <w:bCs/>
          <w:color w:val="auto"/>
          <w:kern w:val="0"/>
          <w:sz w:val="28"/>
          <w:szCs w:val="28"/>
          <w:highlight w:val="none"/>
          <w:lang w:val="zh-CN"/>
        </w:rPr>
      </w:pPr>
      <w:r>
        <w:rPr>
          <w:rFonts w:hint="eastAsia" w:cs="Times New Roman" w:asciiTheme="minorEastAsia" w:hAnsiTheme="minorEastAsia" w:eastAsiaTheme="minorEastAsia"/>
          <w:b/>
          <w:bCs/>
          <w:color w:val="auto"/>
          <w:kern w:val="0"/>
          <w:sz w:val="28"/>
          <w:szCs w:val="28"/>
          <w:highlight w:val="none"/>
          <w:lang w:val="zh-CN"/>
        </w:rPr>
        <w:t>注：上述所有材料均须加盖供应商公章，否则视为无效报价文件。</w:t>
      </w:r>
    </w:p>
    <w:p w14:paraId="6B53C1F0">
      <w:pPr>
        <w:snapToGrid w:val="0"/>
        <w:spacing w:line="400" w:lineRule="exact"/>
        <w:contextualSpacing/>
        <w:rPr>
          <w:rFonts w:eastAsia="方正黑体_GBK"/>
          <w:color w:val="auto"/>
          <w:kern w:val="0"/>
          <w:sz w:val="32"/>
          <w:szCs w:val="32"/>
          <w:highlight w:val="none"/>
          <w:lang w:val="zh-CN"/>
        </w:rPr>
      </w:pPr>
    </w:p>
    <w:p w14:paraId="190E82DF">
      <w:pPr>
        <w:pStyle w:val="6"/>
        <w:rPr>
          <w:lang w:val="zh-CN"/>
        </w:rPr>
      </w:pPr>
    </w:p>
    <w:p w14:paraId="05E677C0">
      <w:pPr>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left="3255" w:leftChars="1550" w:firstLine="240" w:firstLineChars="1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复印件盖单位公章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440B9990">
      <w:pPr>
        <w:jc w:val="center"/>
        <w:rPr>
          <w:color w:val="auto"/>
          <w:sz w:val="32"/>
          <w:szCs w:val="32"/>
          <w:highlight w:val="none"/>
        </w:rPr>
      </w:pPr>
      <w:r>
        <w:rPr>
          <w:rFonts w:hint="eastAsia"/>
          <w:color w:val="auto"/>
          <w:sz w:val="32"/>
          <w:szCs w:val="32"/>
          <w:highlight w:val="none"/>
        </w:rPr>
        <w:t>法定代表人授权委托书</w:t>
      </w:r>
    </w:p>
    <w:p w14:paraId="24F385A4">
      <w:pPr>
        <w:rPr>
          <w:color w:val="auto"/>
          <w:sz w:val="32"/>
          <w:szCs w:val="32"/>
          <w:highlight w:val="none"/>
        </w:rPr>
      </w:pPr>
    </w:p>
    <w:p w14:paraId="724A1C69">
      <w:pPr>
        <w:ind w:firstLine="560" w:firstLineChars="200"/>
        <w:rPr>
          <w:rFonts w:ascii="宋体" w:hAnsi="宋体"/>
          <w:color w:val="auto"/>
          <w:sz w:val="28"/>
          <w:szCs w:val="28"/>
          <w:highlight w:val="none"/>
        </w:rPr>
      </w:pPr>
      <w:r>
        <w:rPr>
          <w:rFonts w:hint="eastAsia" w:ascii="宋体" w:hAnsi="宋体"/>
          <w:color w:val="auto"/>
          <w:sz w:val="28"/>
          <w:szCs w:val="28"/>
          <w:highlight w:val="none"/>
        </w:rPr>
        <w:t>本人------（姓名）系————（授权单位名称）的法定代表人，现委托-------（姓名）（身份证号——————）为我方代理人，以我方名义全权处理与</w:t>
      </w:r>
      <w:r>
        <w:rPr>
          <w:rFonts w:hint="eastAsia" w:ascii="仿宋" w:hAnsi="仿宋" w:eastAsia="仿宋" w:cs="仿宋"/>
          <w:color w:val="auto"/>
          <w:sz w:val="24"/>
          <w:highlight w:val="none"/>
          <w:u w:val="single"/>
        </w:rPr>
        <w:t>********************</w:t>
      </w:r>
      <w:r>
        <w:rPr>
          <w:rFonts w:hint="eastAsia" w:ascii="宋体" w:hAnsi="宋体"/>
          <w:color w:val="auto"/>
          <w:sz w:val="28"/>
          <w:szCs w:val="28"/>
          <w:highlight w:val="none"/>
        </w:rPr>
        <w:t>采购项目有关的一切事务，其法律后果由我方承担。</w:t>
      </w:r>
    </w:p>
    <w:p w14:paraId="74FF0F9A">
      <w:pPr>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本授权书于---年---月---日起生效。代理人无转委托权。</w:t>
      </w:r>
    </w:p>
    <w:p w14:paraId="7F1E0349">
      <w:pPr>
        <w:ind w:firstLine="420" w:firstLineChars="150"/>
        <w:rPr>
          <w:rFonts w:ascii="宋体" w:hAnsi="宋体"/>
          <w:color w:val="auto"/>
          <w:sz w:val="28"/>
          <w:szCs w:val="28"/>
          <w:highlight w:val="none"/>
        </w:rPr>
      </w:pPr>
      <w:r>
        <w:rPr>
          <w:rFonts w:hint="eastAsia" w:ascii="宋体" w:hAnsi="宋体"/>
          <w:color w:val="auto"/>
          <w:sz w:val="28"/>
          <w:szCs w:val="28"/>
          <w:highlight w:val="none"/>
        </w:rPr>
        <w:t>代理人(被授权人):------</w:t>
      </w:r>
    </w:p>
    <w:p w14:paraId="075B9AB1">
      <w:pPr>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授权单位名称（盖章）：-----</w:t>
      </w:r>
    </w:p>
    <w:p w14:paraId="13F1044A">
      <w:pPr>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授权单位法定代表人（签字或盖章）：-----</w:t>
      </w:r>
    </w:p>
    <w:p w14:paraId="1BF1E16A">
      <w:pPr>
        <w:jc w:val="right"/>
        <w:rPr>
          <w:rFonts w:ascii="宋体" w:hAnsi="宋体"/>
          <w:color w:val="auto"/>
          <w:sz w:val="28"/>
          <w:szCs w:val="28"/>
          <w:highlight w:val="none"/>
        </w:rPr>
      </w:pPr>
    </w:p>
    <w:p w14:paraId="7B621B72">
      <w:pPr>
        <w:jc w:val="right"/>
        <w:rPr>
          <w:rFonts w:ascii="宋体" w:hAnsi="宋体"/>
          <w:color w:val="auto"/>
          <w:sz w:val="28"/>
          <w:szCs w:val="28"/>
          <w:highlight w:val="none"/>
        </w:rPr>
      </w:pPr>
      <w:r>
        <w:rPr>
          <w:rFonts w:hint="eastAsia" w:ascii="宋体" w:hAnsi="宋体"/>
          <w:color w:val="auto"/>
          <w:sz w:val="28"/>
          <w:szCs w:val="28"/>
          <w:highlight w:val="none"/>
        </w:rPr>
        <w:t>XXXX年XX月XX日</w:t>
      </w:r>
    </w:p>
    <w:p w14:paraId="507C095E">
      <w:pPr>
        <w:snapToGrid w:val="0"/>
        <w:spacing w:line="400" w:lineRule="exact"/>
        <w:ind w:firstLine="537" w:firstLineChars="192"/>
        <w:contextualSpacing/>
        <w:rPr>
          <w:rFonts w:ascii="宋体" w:hAnsi="宋体" w:cs="宋体"/>
          <w:b/>
          <w:color w:val="auto"/>
          <w:kern w:val="0"/>
          <w:sz w:val="28"/>
          <w:szCs w:val="28"/>
          <w:highlight w:val="none"/>
        </w:rPr>
      </w:pPr>
    </w:p>
    <w:p w14:paraId="77F4FDD5">
      <w:pPr>
        <w:adjustRightInd w:val="0"/>
        <w:snapToGrid w:val="0"/>
        <w:spacing w:line="312" w:lineRule="auto"/>
        <w:ind w:firstLine="560" w:firstLineChars="200"/>
        <w:jc w:val="left"/>
        <w:rPr>
          <w:rFonts w:ascii="宋体" w:hAnsi="宋体" w:cs="宋体"/>
          <w:b/>
          <w:color w:val="auto"/>
          <w:sz w:val="24"/>
          <w:highlight w:val="none"/>
        </w:rPr>
      </w:pPr>
      <w:r>
        <w:rPr>
          <w:rFonts w:hint="eastAsia" w:ascii="宋体" w:hAnsi="宋体" w:cs="宋体"/>
          <w:b/>
          <w:color w:val="auto"/>
          <w:kern w:val="0"/>
          <w:sz w:val="28"/>
          <w:szCs w:val="28"/>
          <w:highlight w:val="none"/>
        </w:rPr>
        <w:t>附：代理人(被授权人)</w:t>
      </w:r>
      <w:r>
        <w:rPr>
          <w:rFonts w:ascii="宋体" w:hAnsi="宋体" w:cs="宋体"/>
          <w:b/>
          <w:color w:val="auto"/>
          <w:kern w:val="0"/>
          <w:sz w:val="28"/>
          <w:szCs w:val="28"/>
          <w:highlight w:val="none"/>
        </w:rPr>
        <w:t>身份证</w:t>
      </w:r>
      <w:r>
        <w:rPr>
          <w:rFonts w:hint="eastAsia" w:ascii="宋体" w:hAnsi="宋体" w:cs="宋体"/>
          <w:b/>
          <w:color w:val="auto"/>
          <w:kern w:val="0"/>
          <w:sz w:val="28"/>
          <w:szCs w:val="28"/>
          <w:highlight w:val="none"/>
          <w:lang w:val="en-US" w:eastAsia="zh-CN"/>
        </w:rPr>
        <w:t>正反面</w:t>
      </w:r>
      <w:r>
        <w:rPr>
          <w:rFonts w:ascii="宋体" w:hAnsi="宋体" w:cs="宋体"/>
          <w:b/>
          <w:color w:val="auto"/>
          <w:kern w:val="0"/>
          <w:sz w:val="28"/>
          <w:szCs w:val="28"/>
          <w:highlight w:val="none"/>
        </w:rPr>
        <w:t>复印件</w:t>
      </w:r>
      <w:r>
        <w:rPr>
          <w:rFonts w:hint="eastAsia" w:ascii="宋体" w:hAnsi="宋体" w:cs="宋体"/>
          <w:b/>
          <w:color w:val="auto"/>
          <w:kern w:val="0"/>
          <w:sz w:val="28"/>
          <w:szCs w:val="28"/>
          <w:highlight w:val="none"/>
        </w:rPr>
        <w:t>盖公章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1AF65E55">
      <w:pPr>
        <w:spacing w:line="360" w:lineRule="auto"/>
        <w:ind w:firstLine="3080" w:firstLineChars="11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77FED610">
      <w:pPr>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br w:type="page"/>
      </w:r>
    </w:p>
    <w:p w14:paraId="2B4A849E">
      <w:pPr>
        <w:spacing w:line="360" w:lineRule="auto"/>
        <w:jc w:val="left"/>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1726CB02">
      <w:pPr>
        <w:jc w:val="center"/>
        <w:rPr>
          <w:rFonts w:ascii="宋体" w:hAnsi="宋体"/>
          <w:b/>
          <w:color w:val="auto"/>
          <w:sz w:val="32"/>
          <w:szCs w:val="32"/>
          <w:highlight w:val="none"/>
        </w:rPr>
      </w:pPr>
      <w:r>
        <w:rPr>
          <w:rFonts w:hint="eastAsia" w:ascii="宋体" w:hAnsi="宋体"/>
          <w:b/>
          <w:color w:val="auto"/>
          <w:sz w:val="32"/>
          <w:szCs w:val="32"/>
          <w:highlight w:val="none"/>
        </w:rPr>
        <w:t>询价响应函</w:t>
      </w:r>
    </w:p>
    <w:p w14:paraId="7C30CEF2">
      <w:pPr>
        <w:adjustRightInd w:val="0"/>
        <w:spacing w:line="420" w:lineRule="exact"/>
        <w:jc w:val="left"/>
        <w:textAlignment w:val="baseline"/>
        <w:rPr>
          <w:rFonts w:ascii="宋体" w:hAnsi="宋体"/>
          <w:sz w:val="24"/>
          <w:szCs w:val="21"/>
          <w:highlight w:val="none"/>
        </w:rPr>
      </w:pPr>
      <w:r>
        <w:rPr>
          <w:rFonts w:hint="eastAsia" w:ascii="宋体" w:hAnsi="宋体"/>
          <w:sz w:val="24"/>
          <w:szCs w:val="21"/>
          <w:highlight w:val="none"/>
        </w:rPr>
        <w:t>致：</w:t>
      </w:r>
      <w:r>
        <w:rPr>
          <w:rFonts w:hint="eastAsia" w:ascii="宋体" w:hAnsi="宋体"/>
          <w:sz w:val="24"/>
          <w:szCs w:val="21"/>
          <w:highlight w:val="none"/>
          <w:u w:val="single"/>
          <w:lang w:val="en-US" w:eastAsia="zh-CN"/>
        </w:rPr>
        <w:t xml:space="preserve">             </w:t>
      </w:r>
      <w:r>
        <w:rPr>
          <w:rFonts w:hint="eastAsia" w:ascii="宋体" w:hAnsi="宋体"/>
          <w:sz w:val="24"/>
          <w:szCs w:val="21"/>
          <w:highlight w:val="none"/>
        </w:rPr>
        <w:t>（采购人名称）</w:t>
      </w:r>
    </w:p>
    <w:p w14:paraId="0D9CCC3D">
      <w:pPr>
        <w:adjustRightInd w:val="0"/>
        <w:spacing w:line="420" w:lineRule="exact"/>
        <w:ind w:firstLine="480" w:firstLineChars="200"/>
        <w:jc w:val="left"/>
        <w:textAlignment w:val="baseline"/>
        <w:rPr>
          <w:rFonts w:ascii="宋体" w:hAnsi="宋体"/>
          <w:sz w:val="24"/>
          <w:szCs w:val="21"/>
          <w:highlight w:val="none"/>
        </w:rPr>
      </w:pPr>
      <w:r>
        <w:rPr>
          <w:rFonts w:hint="eastAsia" w:ascii="宋体" w:hAnsi="宋体"/>
          <w:sz w:val="24"/>
          <w:szCs w:val="21"/>
          <w:highlight w:val="none"/>
        </w:rPr>
        <w:t>根据贵方____________________</w:t>
      </w:r>
      <w:r>
        <w:rPr>
          <w:rFonts w:hint="eastAsia" w:ascii="宋体" w:hAnsi="宋体"/>
          <w:sz w:val="24"/>
          <w:szCs w:val="21"/>
          <w:highlight w:val="none"/>
          <w:lang w:eastAsia="zh-CN"/>
        </w:rPr>
        <w:t>（项目名称）</w:t>
      </w:r>
      <w:r>
        <w:rPr>
          <w:rFonts w:hint="eastAsia" w:ascii="宋体" w:hAnsi="宋体"/>
          <w:sz w:val="24"/>
          <w:szCs w:val="21"/>
          <w:highlight w:val="none"/>
        </w:rPr>
        <w:t>的询价文件，我方正式提交询价响应函，并宣布同意如下内容：</w:t>
      </w:r>
    </w:p>
    <w:p w14:paraId="13D74E89">
      <w:pPr>
        <w:adjustRightInd w:val="0"/>
        <w:spacing w:line="420" w:lineRule="exact"/>
        <w:ind w:firstLine="480"/>
        <w:jc w:val="left"/>
        <w:textAlignment w:val="baseline"/>
        <w:rPr>
          <w:rFonts w:ascii="宋体" w:hAnsi="宋体"/>
          <w:sz w:val="24"/>
          <w:szCs w:val="21"/>
          <w:highlight w:val="none"/>
        </w:rPr>
      </w:pPr>
      <w:r>
        <w:rPr>
          <w:rFonts w:hint="eastAsia" w:ascii="宋体" w:hAnsi="宋体"/>
          <w:sz w:val="24"/>
          <w:szCs w:val="21"/>
          <w:highlight w:val="none"/>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ascii="宋体" w:hAnsi="宋体"/>
          <w:sz w:val="24"/>
          <w:szCs w:val="21"/>
          <w:highlight w:val="none"/>
        </w:rPr>
      </w:pPr>
      <w:r>
        <w:rPr>
          <w:rFonts w:ascii="宋体" w:hAnsi="宋体"/>
          <w:sz w:val="24"/>
          <w:szCs w:val="21"/>
          <w:highlight w:val="none"/>
        </w:rPr>
        <w:t>2</w:t>
      </w:r>
      <w:r>
        <w:rPr>
          <w:rFonts w:hint="eastAsia" w:ascii="宋体" w:hAnsi="宋体"/>
          <w:sz w:val="24"/>
          <w:szCs w:val="21"/>
          <w:highlight w:val="none"/>
        </w:rPr>
        <w:t>.我们已详细审核全部询价文件及其有效补充文件，我们知道必须放弃提出含糊不清或误解问题的权利。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3</w:t>
      </w:r>
      <w:r>
        <w:rPr>
          <w:rFonts w:hint="eastAsia" w:ascii="宋体" w:hAnsi="宋体"/>
          <w:sz w:val="24"/>
          <w:szCs w:val="21"/>
          <w:highlight w:val="none"/>
        </w:rPr>
        <w:t>.我们同意从规定的开标日期起遵循本响应文件，并在规定的询价有效期期满之前均具有约束力。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4</w:t>
      </w:r>
      <w:r>
        <w:rPr>
          <w:rFonts w:hint="eastAsia" w:ascii="宋体" w:hAnsi="宋体"/>
          <w:sz w:val="24"/>
          <w:szCs w:val="21"/>
          <w:highlight w:val="none"/>
        </w:rPr>
        <w:t>.同意向贵方提供贵方可能另外要求的与询价有关的任何证据或资料，并保证我方已提供和将要提供的文件是真实的、准确的。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5</w:t>
      </w:r>
      <w:r>
        <w:rPr>
          <w:rFonts w:hint="eastAsia" w:ascii="宋体" w:hAnsi="宋体"/>
          <w:sz w:val="24"/>
          <w:szCs w:val="21"/>
          <w:highlight w:val="none"/>
        </w:rPr>
        <w:t>.一旦我方成交,我方将根据询价文件的规定，严格履行合同的责任和义务,并保证在询价文件规定的时间完成项目，交付买方验收、使用。</w:t>
      </w:r>
    </w:p>
    <w:p w14:paraId="337F6215">
      <w:pPr>
        <w:adjustRightInd w:val="0"/>
        <w:spacing w:line="420" w:lineRule="exact"/>
        <w:ind w:left="425"/>
        <w:jc w:val="left"/>
        <w:textAlignment w:val="baseline"/>
        <w:rPr>
          <w:rFonts w:ascii="宋体" w:hAnsi="宋体"/>
          <w:sz w:val="24"/>
          <w:szCs w:val="21"/>
          <w:highlight w:val="none"/>
        </w:rPr>
      </w:pPr>
      <w:r>
        <w:rPr>
          <w:rFonts w:ascii="宋体" w:hAnsi="宋体"/>
          <w:sz w:val="24"/>
          <w:szCs w:val="21"/>
          <w:highlight w:val="none"/>
        </w:rPr>
        <w:t>6</w:t>
      </w:r>
      <w:r>
        <w:rPr>
          <w:rFonts w:hint="eastAsia" w:ascii="宋体" w:hAnsi="宋体"/>
          <w:sz w:val="24"/>
          <w:szCs w:val="21"/>
          <w:highlight w:val="none"/>
        </w:rPr>
        <w:t>.我方与本询价有关的正式通讯地址为：</w:t>
      </w:r>
    </w:p>
    <w:p w14:paraId="38E2981F">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地          址：</w:t>
      </w:r>
    </w:p>
    <w:p w14:paraId="67F2A497">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邮          编：</w:t>
      </w:r>
    </w:p>
    <w:p w14:paraId="62A1320F">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电          话：</w:t>
      </w:r>
    </w:p>
    <w:p w14:paraId="73E76D0A">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 xml:space="preserve">电 </w:t>
      </w:r>
      <w:r>
        <w:rPr>
          <w:rFonts w:ascii="宋体" w:hAnsi="宋体"/>
          <w:sz w:val="24"/>
          <w:szCs w:val="21"/>
          <w:highlight w:val="none"/>
        </w:rPr>
        <w:t xml:space="preserve"> </w:t>
      </w:r>
      <w:r>
        <w:rPr>
          <w:rFonts w:hint="eastAsia" w:ascii="宋体" w:hAnsi="宋体"/>
          <w:sz w:val="24"/>
          <w:szCs w:val="21"/>
          <w:highlight w:val="none"/>
        </w:rPr>
        <w:t xml:space="preserve">子 </w:t>
      </w:r>
      <w:r>
        <w:rPr>
          <w:rFonts w:ascii="宋体" w:hAnsi="宋体"/>
          <w:sz w:val="24"/>
          <w:szCs w:val="21"/>
          <w:highlight w:val="none"/>
        </w:rPr>
        <w:t xml:space="preserve"> </w:t>
      </w:r>
      <w:r>
        <w:rPr>
          <w:rFonts w:hint="eastAsia" w:ascii="宋体" w:hAnsi="宋体"/>
          <w:sz w:val="24"/>
          <w:szCs w:val="21"/>
          <w:highlight w:val="none"/>
        </w:rPr>
        <w:t xml:space="preserve">邮 </w:t>
      </w:r>
      <w:r>
        <w:rPr>
          <w:rFonts w:ascii="宋体" w:hAnsi="宋体"/>
          <w:sz w:val="24"/>
          <w:szCs w:val="21"/>
          <w:highlight w:val="none"/>
        </w:rPr>
        <w:t xml:space="preserve"> </w:t>
      </w:r>
      <w:r>
        <w:rPr>
          <w:rFonts w:hint="eastAsia" w:ascii="宋体" w:hAnsi="宋体"/>
          <w:sz w:val="24"/>
          <w:szCs w:val="21"/>
          <w:highlight w:val="none"/>
        </w:rPr>
        <w:t>箱：</w:t>
      </w:r>
    </w:p>
    <w:p w14:paraId="17AEFF6A">
      <w:pPr>
        <w:pStyle w:val="6"/>
        <w:rPr>
          <w:highlight w:val="none"/>
        </w:rPr>
      </w:pPr>
    </w:p>
    <w:p w14:paraId="40335802">
      <w:pPr>
        <w:rPr>
          <w:highlight w:val="none"/>
        </w:rPr>
      </w:pPr>
    </w:p>
    <w:p w14:paraId="431CF6A6">
      <w:pPr>
        <w:spacing w:line="560" w:lineRule="exact"/>
        <w:ind w:right="180" w:firstLine="960" w:firstLineChars="400"/>
        <w:rPr>
          <w:rFonts w:ascii="宋体" w:hAnsi="宋体"/>
          <w:color w:val="000000"/>
          <w:sz w:val="24"/>
          <w:highlight w:val="none"/>
        </w:rPr>
      </w:pPr>
      <w:r>
        <w:rPr>
          <w:rFonts w:hint="eastAsia" w:ascii="宋体" w:hAnsi="宋体"/>
          <w:color w:val="000000"/>
          <w:sz w:val="24"/>
          <w:highlight w:val="none"/>
        </w:rPr>
        <w:t>供应商名称（盖公章）：</w:t>
      </w:r>
    </w:p>
    <w:p w14:paraId="5CF799C6">
      <w:pPr>
        <w:adjustRightInd w:val="0"/>
        <w:spacing w:line="420" w:lineRule="exact"/>
        <w:ind w:left="420" w:leftChars="200" w:firstLine="480" w:firstLineChars="200"/>
        <w:jc w:val="left"/>
        <w:textAlignment w:val="baseline"/>
        <w:rPr>
          <w:rFonts w:ascii="宋体" w:hAnsi="宋体"/>
          <w:sz w:val="24"/>
          <w:szCs w:val="21"/>
          <w:highlight w:val="none"/>
        </w:rPr>
      </w:pPr>
    </w:p>
    <w:p w14:paraId="0A880230">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日          期：________年____月____日</w:t>
      </w:r>
    </w:p>
    <w:p w14:paraId="134445D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49C976E9">
      <w:pPr>
        <w:spacing w:line="312" w:lineRule="auto"/>
        <w:rPr>
          <w:rFonts w:ascii="Times New Roman" w:hAnsi="Times New Roman" w:eastAsia="方正黑体_GBK"/>
          <w:color w:val="auto"/>
          <w:sz w:val="32"/>
          <w:szCs w:val="32"/>
          <w:highlight w:val="none"/>
        </w:rPr>
      </w:pPr>
    </w:p>
    <w:p w14:paraId="6DD8AF45">
      <w:pPr>
        <w:spacing w:line="312" w:lineRule="auto"/>
        <w:rPr>
          <w:rFonts w:ascii="Times New Roman" w:hAnsi="Times New Roman" w:eastAsia="方正黑体_GBK"/>
          <w:color w:val="auto"/>
          <w:sz w:val="32"/>
          <w:szCs w:val="32"/>
          <w:highlight w:val="none"/>
        </w:rPr>
      </w:pPr>
    </w:p>
    <w:p w14:paraId="15A45492">
      <w:pPr>
        <w:rPr>
          <w:rFonts w:ascii="Times New Roman" w:hAnsi="Times New Roman" w:eastAsia="方正黑体_GBK"/>
          <w:color w:val="auto"/>
          <w:sz w:val="32"/>
          <w:szCs w:val="32"/>
          <w:highlight w:val="none"/>
        </w:rPr>
      </w:pPr>
    </w:p>
    <w:p w14:paraId="7DBB67D6">
      <w:pPr>
        <w:rPr>
          <w:rFonts w:ascii="Times New Roman" w:hAnsi="Times New Roman" w:eastAsia="方正黑体_GBK"/>
          <w:sz w:val="32"/>
          <w:szCs w:val="32"/>
        </w:rPr>
      </w:pPr>
      <w:r>
        <w:rPr>
          <w:rFonts w:ascii="Times New Roman" w:hAnsi="Times New Roman" w:eastAsia="方正黑体_GBK"/>
          <w:sz w:val="32"/>
          <w:szCs w:val="32"/>
        </w:rPr>
        <w:t>附件6</w:t>
      </w:r>
    </w:p>
    <w:p w14:paraId="09AF85B1">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9E55912">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0BC21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42D511F1">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1808AEC7">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3CD53496">
            <w:pPr>
              <w:spacing w:line="340" w:lineRule="exact"/>
              <w:jc w:val="center"/>
              <w:rPr>
                <w:rFonts w:ascii="宋体" w:hAnsi="宋体"/>
                <w:sz w:val="28"/>
                <w:szCs w:val="28"/>
              </w:rPr>
            </w:pPr>
            <w:r>
              <w:rPr>
                <w:rFonts w:hint="eastAsia" w:ascii="宋体" w:hAnsi="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6C2FB82A">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66725AF2">
            <w:pPr>
              <w:spacing w:line="340" w:lineRule="exact"/>
              <w:jc w:val="center"/>
              <w:rPr>
                <w:rFonts w:ascii="宋体" w:hAnsi="宋体"/>
                <w:sz w:val="28"/>
                <w:szCs w:val="28"/>
              </w:rPr>
            </w:pPr>
          </w:p>
          <w:p w14:paraId="0423D52A">
            <w:pPr>
              <w:spacing w:line="340" w:lineRule="exact"/>
              <w:jc w:val="center"/>
              <w:rPr>
                <w:rFonts w:ascii="宋体" w:hAnsi="宋体"/>
                <w:sz w:val="28"/>
                <w:szCs w:val="28"/>
              </w:rPr>
            </w:pPr>
            <w:r>
              <w:rPr>
                <w:rFonts w:hint="eastAsia" w:ascii="宋体" w:hAnsi="宋体"/>
                <w:sz w:val="28"/>
                <w:szCs w:val="28"/>
              </w:rPr>
              <w:t>偏离说明</w:t>
            </w:r>
          </w:p>
        </w:tc>
      </w:tr>
      <w:tr w14:paraId="0A914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3FF6B2F">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4FC35363">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1CA340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FBB08A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0DDDCA1">
            <w:pPr>
              <w:spacing w:line="340" w:lineRule="exact"/>
              <w:jc w:val="left"/>
              <w:rPr>
                <w:sz w:val="28"/>
                <w:szCs w:val="28"/>
              </w:rPr>
            </w:pPr>
          </w:p>
        </w:tc>
      </w:tr>
      <w:tr w14:paraId="6114B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51577A15">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18891441">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3BD3DAD">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9D67D60">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602C1B6D">
            <w:pPr>
              <w:spacing w:line="340" w:lineRule="exact"/>
              <w:jc w:val="left"/>
              <w:rPr>
                <w:sz w:val="28"/>
                <w:szCs w:val="28"/>
              </w:rPr>
            </w:pPr>
          </w:p>
        </w:tc>
      </w:tr>
      <w:tr w14:paraId="4EAC6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1D68E73B">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4B72FF15">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F63E8B7">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BE48D2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35B4DFE">
            <w:pPr>
              <w:spacing w:line="340" w:lineRule="exact"/>
              <w:jc w:val="left"/>
              <w:rPr>
                <w:sz w:val="28"/>
                <w:szCs w:val="28"/>
              </w:rPr>
            </w:pPr>
          </w:p>
        </w:tc>
      </w:tr>
      <w:tr w14:paraId="1460E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0750584C">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2539379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32AD4E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A26D73F">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C614FB">
            <w:pPr>
              <w:spacing w:line="340" w:lineRule="exact"/>
              <w:jc w:val="left"/>
              <w:rPr>
                <w:sz w:val="28"/>
                <w:szCs w:val="28"/>
              </w:rPr>
            </w:pPr>
          </w:p>
        </w:tc>
      </w:tr>
    </w:tbl>
    <w:p w14:paraId="3B8A81C3">
      <w:pPr>
        <w:snapToGrid w:val="0"/>
        <w:spacing w:line="300" w:lineRule="auto"/>
        <w:contextualSpacing/>
        <w:rPr>
          <w:rFonts w:ascii="宋体" w:hAnsi="宋体"/>
          <w:b/>
          <w:sz w:val="28"/>
          <w:szCs w:val="28"/>
        </w:rPr>
      </w:pPr>
      <w:r>
        <w:rPr>
          <w:rFonts w:hint="eastAsia" w:ascii="宋体" w:hAnsi="宋体"/>
          <w:b/>
          <w:sz w:val="28"/>
          <w:szCs w:val="28"/>
        </w:rPr>
        <w:t>注：</w:t>
      </w:r>
    </w:p>
    <w:p w14:paraId="158C0021">
      <w:pPr>
        <w:snapToGrid w:val="0"/>
        <w:spacing w:line="300" w:lineRule="auto"/>
        <w:ind w:firstLine="560" w:firstLineChars="200"/>
        <w:contextualSpacing/>
        <w:rPr>
          <w:rFonts w:ascii="宋体" w:hAnsi="宋体"/>
          <w:sz w:val="28"/>
          <w:szCs w:val="28"/>
        </w:rPr>
      </w:pPr>
      <w:r>
        <w:rPr>
          <w:rFonts w:hint="eastAsia" w:ascii="宋体" w:hAnsi="宋体"/>
          <w:sz w:val="28"/>
          <w:szCs w:val="28"/>
        </w:rPr>
        <w:t>1.如响应供应商提交的响应文件与采购文件第三部分“项目需求”中的商务部分的要求有偏离的，应逐条填列在偏离表中。未填写的内容视为完全响应本采购文件要求。</w:t>
      </w:r>
    </w:p>
    <w:p w14:paraId="247D753A">
      <w:pPr>
        <w:snapToGrid w:val="0"/>
        <w:spacing w:line="300" w:lineRule="auto"/>
        <w:ind w:firstLine="560" w:firstLineChars="200"/>
        <w:contextualSpacing/>
        <w:rPr>
          <w:rFonts w:ascii="宋体" w:hAnsi="宋体"/>
          <w:sz w:val="28"/>
          <w:szCs w:val="28"/>
        </w:rPr>
      </w:pPr>
      <w:r>
        <w:rPr>
          <w:rFonts w:hint="eastAsia" w:ascii="宋体" w:hAnsi="宋体"/>
          <w:sz w:val="28"/>
          <w:szCs w:val="28"/>
        </w:rPr>
        <w:t>2.“偏离说明”一栏选择“正偏离”、“负偏离”、“无偏离”进行填写。正偏离的确认和负偏离的是否响应采购文件，由询价小组认定。</w:t>
      </w:r>
    </w:p>
    <w:p w14:paraId="4C89BB8F">
      <w:pPr>
        <w:snapToGrid w:val="0"/>
        <w:spacing w:line="300" w:lineRule="auto"/>
        <w:ind w:firstLine="560" w:firstLineChars="200"/>
        <w:contextualSpacing/>
        <w:rPr>
          <w:rFonts w:ascii="宋体" w:hAnsi="宋体"/>
          <w:bCs/>
          <w:sz w:val="28"/>
          <w:szCs w:val="28"/>
        </w:rPr>
      </w:pPr>
      <w:r>
        <w:rPr>
          <w:rFonts w:hint="eastAsia" w:ascii="宋体" w:hAnsi="宋体"/>
          <w:bCs/>
          <w:sz w:val="28"/>
          <w:szCs w:val="28"/>
        </w:rPr>
        <w:t>3.供应商若提供其他增值服务，可以在表中自行据实填写。</w:t>
      </w:r>
    </w:p>
    <w:p w14:paraId="4054C4D9">
      <w:pPr>
        <w:snapToGrid w:val="0"/>
        <w:spacing w:line="400" w:lineRule="exact"/>
        <w:ind w:firstLine="537" w:firstLineChars="192"/>
        <w:contextualSpacing/>
        <w:rPr>
          <w:rFonts w:ascii="宋体" w:hAnsi="宋体" w:cs="宋体"/>
          <w:b/>
          <w:kern w:val="0"/>
          <w:sz w:val="28"/>
          <w:szCs w:val="28"/>
        </w:rPr>
      </w:pPr>
    </w:p>
    <w:p w14:paraId="70C2E294">
      <w:pPr>
        <w:spacing w:line="312" w:lineRule="auto"/>
        <w:ind w:firstLine="803" w:firstLineChars="287"/>
        <w:rPr>
          <w:rFonts w:ascii="宋体" w:hAnsi="宋体" w:cs="宋体"/>
          <w:b/>
          <w:sz w:val="28"/>
          <w:szCs w:val="28"/>
        </w:rPr>
      </w:pPr>
    </w:p>
    <w:p w14:paraId="59614EC1">
      <w:pPr>
        <w:spacing w:line="312" w:lineRule="auto"/>
        <w:ind w:firstLine="1960" w:firstLineChars="700"/>
        <w:rPr>
          <w:rFonts w:ascii="宋体" w:hAnsi="宋体" w:cs="宋体"/>
          <w:sz w:val="28"/>
          <w:szCs w:val="28"/>
          <w:u w:val="single"/>
        </w:rPr>
      </w:pPr>
      <w:r>
        <w:rPr>
          <w:rFonts w:hint="eastAsia" w:ascii="宋体" w:hAnsi="宋体" w:cs="宋体"/>
          <w:sz w:val="28"/>
          <w:szCs w:val="28"/>
        </w:rPr>
        <w:t>响应供应商全称（盖公章）：</w:t>
      </w:r>
    </w:p>
    <w:p w14:paraId="30BCFD4A">
      <w:pPr>
        <w:spacing w:line="312" w:lineRule="auto"/>
        <w:ind w:firstLine="1960" w:firstLineChars="700"/>
        <w:rPr>
          <w:rFonts w:ascii="宋体" w:hAnsi="宋体" w:cs="宋体"/>
          <w:sz w:val="28"/>
          <w:szCs w:val="28"/>
        </w:rPr>
      </w:pPr>
      <w:r>
        <w:rPr>
          <w:rFonts w:hint="eastAsia" w:ascii="宋体" w:hAnsi="宋体" w:cs="宋体"/>
          <w:sz w:val="28"/>
          <w:szCs w:val="28"/>
        </w:rPr>
        <w:t>法定代表人（签字或盖章）：</w:t>
      </w:r>
    </w:p>
    <w:p w14:paraId="3521AD3D">
      <w:pPr>
        <w:spacing w:line="312" w:lineRule="auto"/>
        <w:ind w:firstLine="1960" w:firstLineChars="700"/>
        <w:rPr>
          <w:rFonts w:ascii="宋体" w:hAnsi="宋体" w:cs="宋体"/>
          <w:sz w:val="28"/>
          <w:szCs w:val="28"/>
        </w:rPr>
      </w:pPr>
      <w:r>
        <w:rPr>
          <w:rFonts w:hint="eastAsia" w:ascii="宋体" w:hAnsi="宋体" w:cs="宋体"/>
          <w:sz w:val="28"/>
          <w:szCs w:val="28"/>
        </w:rPr>
        <w:t>日期：年月日</w:t>
      </w:r>
    </w:p>
    <w:p w14:paraId="39A4AB2E">
      <w:pPr>
        <w:widowControl/>
        <w:spacing w:line="312" w:lineRule="auto"/>
        <w:jc w:val="left"/>
        <w:rPr>
          <w:rFonts w:ascii="宋体" w:hAnsi="宋体" w:cs="宋体"/>
          <w:b/>
          <w:bCs/>
          <w:sz w:val="32"/>
          <w:szCs w:val="32"/>
        </w:rPr>
      </w:pPr>
      <w:r>
        <w:rPr>
          <w:rFonts w:hint="eastAsia" w:ascii="宋体" w:hAnsi="宋体" w:cs="宋体"/>
          <w:b/>
          <w:sz w:val="24"/>
        </w:rPr>
        <w:br w:type="page"/>
      </w:r>
    </w:p>
    <w:p w14:paraId="3FE58A91">
      <w:pPr>
        <w:widowControl/>
        <w:spacing w:line="312" w:lineRule="auto"/>
        <w:jc w:val="left"/>
        <w:rPr>
          <w:rFonts w:ascii="Times New Roman" w:hAnsi="Times New Roman" w:eastAsia="方正黑体_GBK"/>
          <w:sz w:val="24"/>
        </w:rPr>
      </w:pPr>
      <w:r>
        <w:rPr>
          <w:rFonts w:ascii="Times New Roman" w:hAnsi="Times New Roman" w:eastAsia="方正黑体_GBK"/>
          <w:sz w:val="32"/>
          <w:szCs w:val="32"/>
        </w:rPr>
        <w:t>附件7</w:t>
      </w:r>
    </w:p>
    <w:p w14:paraId="29FDC26A">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7FCA1471">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28E5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26F888AC">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511ED43">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27E5E55">
            <w:pPr>
              <w:spacing w:line="340" w:lineRule="exact"/>
              <w:jc w:val="center"/>
              <w:rPr>
                <w:rFonts w:ascii="宋体" w:hAnsi="宋体"/>
                <w:sz w:val="28"/>
                <w:szCs w:val="28"/>
              </w:rPr>
            </w:pPr>
            <w:r>
              <w:rPr>
                <w:rFonts w:hint="eastAsia" w:ascii="宋体" w:hAnsi="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73385F50">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388B6C60">
            <w:pPr>
              <w:spacing w:line="340" w:lineRule="exact"/>
              <w:jc w:val="center"/>
              <w:rPr>
                <w:rFonts w:ascii="宋体" w:hAnsi="宋体"/>
                <w:sz w:val="28"/>
                <w:szCs w:val="28"/>
              </w:rPr>
            </w:pPr>
          </w:p>
          <w:p w14:paraId="0802140C">
            <w:pPr>
              <w:spacing w:line="340" w:lineRule="exact"/>
              <w:jc w:val="center"/>
              <w:rPr>
                <w:rFonts w:ascii="宋体" w:hAnsi="宋体"/>
                <w:sz w:val="28"/>
                <w:szCs w:val="28"/>
              </w:rPr>
            </w:pPr>
            <w:r>
              <w:rPr>
                <w:rFonts w:hint="eastAsia" w:ascii="宋体" w:hAnsi="宋体"/>
                <w:sz w:val="28"/>
                <w:szCs w:val="28"/>
              </w:rPr>
              <w:t>偏离说明</w:t>
            </w:r>
          </w:p>
        </w:tc>
      </w:tr>
      <w:tr w14:paraId="4D0C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F74D50C">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03F4A724">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F36E6DF">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91B7748">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3B8A810">
            <w:pPr>
              <w:spacing w:line="340" w:lineRule="exact"/>
              <w:jc w:val="left"/>
              <w:rPr>
                <w:sz w:val="28"/>
                <w:szCs w:val="28"/>
              </w:rPr>
            </w:pPr>
          </w:p>
        </w:tc>
      </w:tr>
      <w:tr w14:paraId="2572E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43BBCFD">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E6855B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E58463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C303716">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CF7A5D6">
            <w:pPr>
              <w:spacing w:line="340" w:lineRule="exact"/>
              <w:jc w:val="left"/>
              <w:rPr>
                <w:sz w:val="28"/>
                <w:szCs w:val="28"/>
              </w:rPr>
            </w:pPr>
          </w:p>
        </w:tc>
      </w:tr>
      <w:tr w14:paraId="42757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0A3BC5DD">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578A5B98">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A4F8015">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C2C964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E0E01B">
            <w:pPr>
              <w:spacing w:line="340" w:lineRule="exact"/>
              <w:jc w:val="left"/>
              <w:rPr>
                <w:sz w:val="28"/>
                <w:szCs w:val="28"/>
              </w:rPr>
            </w:pPr>
          </w:p>
        </w:tc>
      </w:tr>
      <w:tr w14:paraId="5AD0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1B95494A">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2238227">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A32847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F964AF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5DA51F">
            <w:pPr>
              <w:spacing w:line="340" w:lineRule="exact"/>
              <w:jc w:val="left"/>
              <w:rPr>
                <w:sz w:val="28"/>
                <w:szCs w:val="28"/>
              </w:rPr>
            </w:pPr>
          </w:p>
        </w:tc>
      </w:tr>
    </w:tbl>
    <w:p w14:paraId="6A8E5D5F">
      <w:pPr>
        <w:snapToGrid w:val="0"/>
        <w:spacing w:line="300" w:lineRule="auto"/>
        <w:contextualSpacing/>
        <w:rPr>
          <w:rFonts w:ascii="宋体" w:hAnsi="宋体"/>
          <w:b/>
          <w:sz w:val="28"/>
          <w:szCs w:val="28"/>
        </w:rPr>
      </w:pPr>
      <w:r>
        <w:rPr>
          <w:rFonts w:hint="eastAsia" w:ascii="宋体" w:hAnsi="宋体"/>
          <w:b/>
          <w:sz w:val="28"/>
          <w:szCs w:val="28"/>
        </w:rPr>
        <w:t>注：</w:t>
      </w:r>
    </w:p>
    <w:p w14:paraId="32B82C5C">
      <w:pPr>
        <w:snapToGrid w:val="0"/>
        <w:spacing w:line="300" w:lineRule="auto"/>
        <w:ind w:firstLine="560" w:firstLineChars="200"/>
        <w:contextualSpacing/>
        <w:rPr>
          <w:rFonts w:ascii="宋体" w:hAnsi="宋体"/>
          <w:sz w:val="28"/>
          <w:szCs w:val="28"/>
        </w:rPr>
      </w:pPr>
      <w:r>
        <w:rPr>
          <w:rFonts w:hint="eastAsia" w:ascii="宋体" w:hAnsi="宋体"/>
          <w:sz w:val="28"/>
          <w:szCs w:val="28"/>
        </w:rPr>
        <w:t>1.如响应供应商提交的响应文件与采购文件第三部分“项目需求”中的技术部分的要求有偏离的，应逐条填列在偏离表中。未填写的内容视为完全响应本采购文件要求。</w:t>
      </w:r>
    </w:p>
    <w:p w14:paraId="3AAF9AC3">
      <w:pPr>
        <w:snapToGrid w:val="0"/>
        <w:spacing w:line="300" w:lineRule="auto"/>
        <w:ind w:firstLine="560" w:firstLineChars="200"/>
        <w:contextualSpacing/>
        <w:rPr>
          <w:rFonts w:ascii="宋体" w:hAnsi="宋体"/>
          <w:sz w:val="28"/>
          <w:szCs w:val="28"/>
        </w:rPr>
      </w:pPr>
      <w:r>
        <w:rPr>
          <w:rFonts w:hint="eastAsia" w:ascii="宋体" w:hAnsi="宋体"/>
          <w:sz w:val="28"/>
          <w:szCs w:val="28"/>
        </w:rPr>
        <w:t>2.“偏离说明”一栏选择“正偏离”、“负偏离”、“无偏离”进行填写。正偏离的确认和负偏离的是否响应采购文件，由询价小组认定。</w:t>
      </w:r>
    </w:p>
    <w:p w14:paraId="777AC899">
      <w:pPr>
        <w:snapToGrid w:val="0"/>
        <w:spacing w:line="300" w:lineRule="auto"/>
        <w:ind w:firstLine="560" w:firstLineChars="200"/>
        <w:contextualSpacing/>
        <w:rPr>
          <w:rFonts w:ascii="宋体" w:hAnsi="宋体"/>
          <w:bCs/>
          <w:sz w:val="28"/>
          <w:szCs w:val="28"/>
        </w:rPr>
      </w:pPr>
      <w:r>
        <w:rPr>
          <w:rFonts w:hint="eastAsia" w:ascii="宋体" w:hAnsi="宋体"/>
          <w:bCs/>
          <w:sz w:val="28"/>
          <w:szCs w:val="28"/>
        </w:rPr>
        <w:t>3.供应商若提供其他增值服务，可以在表中自行据实填写。</w:t>
      </w:r>
    </w:p>
    <w:p w14:paraId="42EB108E">
      <w:pPr>
        <w:spacing w:line="312" w:lineRule="auto"/>
        <w:ind w:firstLine="2520" w:firstLineChars="900"/>
        <w:rPr>
          <w:rFonts w:ascii="宋体" w:hAnsi="宋体" w:cs="宋体"/>
          <w:sz w:val="28"/>
          <w:szCs w:val="28"/>
          <w:u w:val="single"/>
        </w:rPr>
      </w:pPr>
      <w:r>
        <w:rPr>
          <w:rFonts w:hint="eastAsia" w:ascii="宋体" w:hAnsi="宋体" w:cs="宋体"/>
          <w:sz w:val="28"/>
          <w:szCs w:val="28"/>
        </w:rPr>
        <w:t>响应供应商全称（盖公章）：</w:t>
      </w:r>
    </w:p>
    <w:p w14:paraId="432D45D0">
      <w:pPr>
        <w:spacing w:line="312" w:lineRule="auto"/>
        <w:ind w:left="480" w:firstLine="1960" w:firstLineChars="700"/>
        <w:rPr>
          <w:rFonts w:ascii="宋体" w:hAnsi="宋体" w:cs="宋体"/>
          <w:sz w:val="28"/>
          <w:szCs w:val="28"/>
          <w:u w:val="single"/>
        </w:rPr>
      </w:pPr>
      <w:r>
        <w:rPr>
          <w:rFonts w:hint="eastAsia" w:ascii="宋体" w:hAnsi="宋体" w:cs="宋体"/>
          <w:sz w:val="28"/>
          <w:szCs w:val="28"/>
        </w:rPr>
        <w:t>法定代表人（签字或盖章）：</w:t>
      </w:r>
    </w:p>
    <w:p w14:paraId="75460FF1">
      <w:pPr>
        <w:jc w:val="right"/>
      </w:pPr>
      <w:bookmarkStart w:id="63" w:name="_Toc71282449"/>
      <w:bookmarkStart w:id="64" w:name="_Toc71282465"/>
      <w:bookmarkStart w:id="65" w:name="_Toc71282604"/>
      <w:r>
        <w:rPr>
          <w:rFonts w:hint="eastAsia" w:ascii="宋体" w:hAnsi="宋体" w:cs="宋体"/>
          <w:sz w:val="28"/>
          <w:szCs w:val="28"/>
        </w:rPr>
        <w:t>日期：年月日</w:t>
      </w:r>
      <w:bookmarkEnd w:id="63"/>
      <w:bookmarkEnd w:id="64"/>
      <w:bookmarkEnd w:id="65"/>
      <w:r>
        <w:br w:type="page"/>
      </w:r>
    </w:p>
    <w:p w14:paraId="0B998119">
      <w:pPr>
        <w:spacing w:line="312" w:lineRule="auto"/>
        <w:rPr>
          <w:rFonts w:hint="eastAsia"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8</w:t>
      </w:r>
    </w:p>
    <w:p w14:paraId="536C22B8">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报价明细表</w:t>
      </w:r>
      <w:r>
        <w:rPr>
          <w:rFonts w:hint="eastAsia"/>
          <w:b/>
          <w:bCs/>
          <w:sz w:val="32"/>
          <w:szCs w:val="40"/>
          <w:highlight w:val="none"/>
        </w:rPr>
        <w:t>（货物类）</w:t>
      </w:r>
    </w:p>
    <w:p w14:paraId="57EDC4E0">
      <w:pPr>
        <w:pStyle w:val="6"/>
        <w:rPr>
          <w:rFonts w:hint="eastAsia" w:ascii="宋体" w:hAnsi="宋体" w:cs="宋体"/>
          <w:b/>
          <w:bCs/>
          <w:sz w:val="24"/>
          <w:highlight w:val="none"/>
        </w:rPr>
      </w:pPr>
      <w:r>
        <w:rPr>
          <w:rFonts w:hint="eastAsia" w:ascii="宋体" w:hAnsi="宋体" w:cs="宋体"/>
          <w:b/>
          <w:bCs/>
          <w:sz w:val="24"/>
          <w:highlight w:val="none"/>
        </w:rPr>
        <w:t xml:space="preserve">供应商名称（盖公章）： </w:t>
      </w:r>
      <w:r>
        <w:rPr>
          <w:rFonts w:ascii="宋体" w:hAnsi="宋体" w:cs="宋体"/>
          <w:b/>
          <w:bCs/>
          <w:sz w:val="24"/>
          <w:highlight w:val="none"/>
        </w:rPr>
        <w:t xml:space="preserve">                                </w:t>
      </w:r>
      <w:r>
        <w:rPr>
          <w:rFonts w:hint="eastAsia" w:ascii="宋体" w:hAnsi="宋体" w:cs="宋体"/>
          <w:b/>
          <w:bCs/>
          <w:sz w:val="24"/>
          <w:highlight w:val="none"/>
        </w:rPr>
        <w:t xml:space="preserve">年 </w:t>
      </w:r>
      <w:r>
        <w:rPr>
          <w:rFonts w:ascii="宋体" w:hAnsi="宋体" w:cs="宋体"/>
          <w:b/>
          <w:bCs/>
          <w:sz w:val="24"/>
          <w:highlight w:val="none"/>
        </w:rPr>
        <w:t xml:space="preserve"> </w:t>
      </w:r>
      <w:r>
        <w:rPr>
          <w:rFonts w:hint="eastAsia" w:ascii="宋体" w:hAnsi="宋体" w:cs="宋体"/>
          <w:b/>
          <w:bCs/>
          <w:sz w:val="24"/>
          <w:highlight w:val="none"/>
        </w:rPr>
        <w:t xml:space="preserve">月 </w:t>
      </w:r>
      <w:r>
        <w:rPr>
          <w:rFonts w:ascii="宋体" w:hAnsi="宋体" w:cs="宋体"/>
          <w:b/>
          <w:bCs/>
          <w:sz w:val="24"/>
          <w:highlight w:val="none"/>
        </w:rPr>
        <w:t xml:space="preserve"> </w:t>
      </w:r>
      <w:r>
        <w:rPr>
          <w:rFonts w:hint="eastAsia" w:ascii="宋体" w:hAnsi="宋体" w:cs="宋体"/>
          <w:b/>
          <w:bCs/>
          <w:sz w:val="24"/>
          <w:highlight w:val="none"/>
        </w:rPr>
        <w:t>日</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8"/>
        <w:gridCol w:w="2722"/>
        <w:gridCol w:w="640"/>
        <w:gridCol w:w="752"/>
        <w:gridCol w:w="939"/>
        <w:gridCol w:w="939"/>
      </w:tblGrid>
      <w:tr w14:paraId="107C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05" w:type="dxa"/>
            <w:noWrap w:val="0"/>
            <w:vAlign w:val="center"/>
          </w:tcPr>
          <w:p w14:paraId="3CED1381">
            <w:pPr>
              <w:adjustRightInd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998" w:type="dxa"/>
            <w:noWrap w:val="0"/>
            <w:vAlign w:val="center"/>
          </w:tcPr>
          <w:p w14:paraId="442BC598">
            <w:pPr>
              <w:adjustRightInd w:val="0"/>
              <w:snapToGrid w:val="0"/>
              <w:spacing w:line="500" w:lineRule="exact"/>
              <w:ind w:firstLine="240" w:firstLineChars="100"/>
              <w:rPr>
                <w:rFonts w:hint="eastAsia" w:ascii="宋体" w:hAnsi="宋体" w:eastAsia="宋体" w:cs="宋体"/>
                <w:b/>
                <w:bCs/>
                <w:sz w:val="24"/>
                <w:szCs w:val="24"/>
              </w:rPr>
            </w:pPr>
            <w:r>
              <w:rPr>
                <w:rFonts w:hint="eastAsia" w:ascii="宋体" w:hAnsi="宋体" w:eastAsia="宋体" w:cs="宋体"/>
                <w:b/>
                <w:bCs/>
                <w:sz w:val="24"/>
                <w:szCs w:val="24"/>
              </w:rPr>
              <w:t>品名</w:t>
            </w:r>
          </w:p>
        </w:tc>
        <w:tc>
          <w:tcPr>
            <w:tcW w:w="2722" w:type="dxa"/>
            <w:noWrap w:val="0"/>
            <w:vAlign w:val="center"/>
          </w:tcPr>
          <w:p w14:paraId="340F37D4">
            <w:pPr>
              <w:adjustRightInd w:val="0"/>
              <w:snapToGrid w:val="0"/>
              <w:spacing w:line="500" w:lineRule="exact"/>
              <w:ind w:firstLine="240" w:firstLineChars="100"/>
              <w:rPr>
                <w:rFonts w:hint="eastAsia" w:ascii="宋体" w:hAnsi="宋体" w:eastAsia="宋体" w:cs="宋体"/>
                <w:b/>
                <w:bCs/>
                <w:sz w:val="24"/>
                <w:szCs w:val="24"/>
              </w:rPr>
            </w:pPr>
            <w:r>
              <w:rPr>
                <w:rFonts w:hint="eastAsia" w:ascii="宋体" w:hAnsi="宋体" w:eastAsia="宋体" w:cs="宋体"/>
                <w:b/>
                <w:bCs/>
                <w:sz w:val="24"/>
                <w:szCs w:val="24"/>
              </w:rPr>
              <w:t>规格、技术参数等要求</w:t>
            </w:r>
          </w:p>
        </w:tc>
        <w:tc>
          <w:tcPr>
            <w:tcW w:w="640" w:type="dxa"/>
            <w:noWrap w:val="0"/>
            <w:vAlign w:val="center"/>
          </w:tcPr>
          <w:p w14:paraId="4E40D230">
            <w:pPr>
              <w:adjustRightInd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52" w:type="dxa"/>
            <w:noWrap w:val="0"/>
            <w:vAlign w:val="center"/>
          </w:tcPr>
          <w:p w14:paraId="78BCD46C">
            <w:pPr>
              <w:adjustRightInd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9" w:type="dxa"/>
            <w:noWrap w:val="0"/>
            <w:vAlign w:val="center"/>
          </w:tcPr>
          <w:p w14:paraId="0951F0E0">
            <w:pPr>
              <w:adjustRightInd w:val="0"/>
              <w:snapToGrid w:val="0"/>
              <w:spacing w:line="500" w:lineRule="exact"/>
              <w:rPr>
                <w:rFonts w:hint="eastAsia" w:ascii="宋体" w:hAnsi="宋体" w:eastAsia="宋体" w:cs="宋体"/>
                <w:b/>
                <w:bCs/>
                <w:sz w:val="24"/>
                <w:szCs w:val="24"/>
                <w:lang w:eastAsia="zh-CN"/>
              </w:rPr>
            </w:pPr>
            <w:r>
              <w:rPr>
                <w:rFonts w:hint="eastAsia" w:ascii="宋体" w:hAnsi="宋体" w:cs="宋体"/>
                <w:b/>
                <w:bCs/>
                <w:sz w:val="24"/>
                <w:szCs w:val="24"/>
                <w:lang w:eastAsia="zh-CN"/>
              </w:rPr>
              <w:t>单价（元）</w:t>
            </w:r>
          </w:p>
        </w:tc>
        <w:tc>
          <w:tcPr>
            <w:tcW w:w="939" w:type="dxa"/>
            <w:noWrap w:val="0"/>
            <w:vAlign w:val="center"/>
          </w:tcPr>
          <w:p w14:paraId="130E21BF">
            <w:pPr>
              <w:adjustRightInd w:val="0"/>
              <w:snapToGrid w:val="0"/>
              <w:spacing w:line="500" w:lineRule="exact"/>
              <w:rPr>
                <w:rFonts w:hint="eastAsia" w:ascii="宋体" w:hAnsi="宋体" w:eastAsia="宋体" w:cs="宋体"/>
                <w:b/>
                <w:bCs/>
                <w:sz w:val="24"/>
                <w:szCs w:val="24"/>
                <w:lang w:eastAsia="zh-CN"/>
              </w:rPr>
            </w:pPr>
            <w:r>
              <w:rPr>
                <w:rFonts w:hint="eastAsia" w:ascii="宋体" w:hAnsi="宋体" w:cs="宋体"/>
                <w:b/>
                <w:bCs/>
                <w:sz w:val="24"/>
                <w:szCs w:val="24"/>
                <w:lang w:eastAsia="zh-CN"/>
              </w:rPr>
              <w:t>合价（元）</w:t>
            </w:r>
          </w:p>
        </w:tc>
      </w:tr>
      <w:tr w14:paraId="7136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05" w:type="dxa"/>
            <w:vMerge w:val="restart"/>
            <w:noWrap w:val="0"/>
            <w:vAlign w:val="center"/>
          </w:tcPr>
          <w:p w14:paraId="0E1916EC">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垃圾焚烧炉（大型）</w:t>
            </w:r>
          </w:p>
        </w:tc>
        <w:tc>
          <w:tcPr>
            <w:tcW w:w="998" w:type="dxa"/>
            <w:noWrap w:val="0"/>
            <w:vAlign w:val="center"/>
          </w:tcPr>
          <w:p w14:paraId="6F5E4DDC">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内腔</w:t>
            </w:r>
          </w:p>
        </w:tc>
        <w:tc>
          <w:tcPr>
            <w:tcW w:w="2722" w:type="dxa"/>
            <w:noWrap w:val="0"/>
            <w:vAlign w:val="center"/>
          </w:tcPr>
          <w:p w14:paraId="20E53B7F">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≥12mm厚，耐高温，锅炉专用钢板</w:t>
            </w:r>
          </w:p>
        </w:tc>
        <w:tc>
          <w:tcPr>
            <w:tcW w:w="640" w:type="dxa"/>
            <w:vMerge w:val="restart"/>
            <w:noWrap w:val="0"/>
            <w:vAlign w:val="center"/>
          </w:tcPr>
          <w:p w14:paraId="67C8D458">
            <w:pPr>
              <w:adjustRightInd w:val="0"/>
              <w:snapToGrid w:val="0"/>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752" w:type="dxa"/>
            <w:vMerge w:val="restart"/>
            <w:noWrap w:val="0"/>
            <w:vAlign w:val="center"/>
          </w:tcPr>
          <w:p w14:paraId="44738765">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台</w:t>
            </w:r>
          </w:p>
        </w:tc>
        <w:tc>
          <w:tcPr>
            <w:tcW w:w="939" w:type="dxa"/>
            <w:vMerge w:val="restart"/>
            <w:noWrap w:val="0"/>
            <w:vAlign w:val="center"/>
          </w:tcPr>
          <w:p w14:paraId="53BCF67B">
            <w:pPr>
              <w:adjustRightInd w:val="0"/>
              <w:snapToGrid w:val="0"/>
              <w:spacing w:line="500" w:lineRule="exact"/>
              <w:ind w:firstLine="240" w:firstLineChars="100"/>
              <w:rPr>
                <w:rFonts w:hint="eastAsia" w:ascii="宋体" w:hAnsi="宋体" w:eastAsia="宋体" w:cs="宋体"/>
                <w:sz w:val="24"/>
                <w:szCs w:val="24"/>
              </w:rPr>
            </w:pPr>
          </w:p>
        </w:tc>
        <w:tc>
          <w:tcPr>
            <w:tcW w:w="939" w:type="dxa"/>
            <w:vMerge w:val="restart"/>
            <w:noWrap w:val="0"/>
            <w:vAlign w:val="center"/>
          </w:tcPr>
          <w:p w14:paraId="2C65A4A2">
            <w:pPr>
              <w:adjustRightInd w:val="0"/>
              <w:snapToGrid w:val="0"/>
              <w:spacing w:line="500" w:lineRule="exact"/>
              <w:ind w:firstLine="240" w:firstLineChars="100"/>
              <w:rPr>
                <w:rFonts w:hint="eastAsia" w:ascii="宋体" w:hAnsi="宋体" w:eastAsia="宋体" w:cs="宋体"/>
                <w:sz w:val="24"/>
                <w:szCs w:val="24"/>
              </w:rPr>
            </w:pPr>
          </w:p>
        </w:tc>
      </w:tr>
      <w:tr w14:paraId="0910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Merge w:val="continue"/>
            <w:noWrap w:val="0"/>
            <w:vAlign w:val="center"/>
          </w:tcPr>
          <w:p w14:paraId="794D144A">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1C451E77">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外壳</w:t>
            </w:r>
          </w:p>
        </w:tc>
        <w:tc>
          <w:tcPr>
            <w:tcW w:w="2722" w:type="dxa"/>
            <w:noWrap w:val="0"/>
            <w:vAlign w:val="center"/>
          </w:tcPr>
          <w:p w14:paraId="0180EED8">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≥8mm厚度，A3钢板</w:t>
            </w:r>
          </w:p>
        </w:tc>
        <w:tc>
          <w:tcPr>
            <w:tcW w:w="640" w:type="dxa"/>
            <w:vMerge w:val="continue"/>
            <w:noWrap w:val="0"/>
            <w:vAlign w:val="top"/>
          </w:tcPr>
          <w:p w14:paraId="0FA00336">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1D4732A3">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1083ECA2">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1AB7D34E">
            <w:pPr>
              <w:adjustRightInd w:val="0"/>
              <w:snapToGrid w:val="0"/>
              <w:spacing w:line="500" w:lineRule="exact"/>
              <w:ind w:firstLine="480" w:firstLineChars="200"/>
              <w:rPr>
                <w:rFonts w:hint="eastAsia" w:ascii="宋体" w:hAnsi="宋体" w:eastAsia="宋体" w:cs="宋体"/>
                <w:sz w:val="24"/>
                <w:szCs w:val="24"/>
              </w:rPr>
            </w:pPr>
          </w:p>
        </w:tc>
      </w:tr>
      <w:tr w14:paraId="02D0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5" w:type="dxa"/>
            <w:vMerge w:val="continue"/>
            <w:noWrap w:val="0"/>
            <w:vAlign w:val="center"/>
          </w:tcPr>
          <w:p w14:paraId="41DC5AC0">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2A2D2494">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电压</w:t>
            </w:r>
          </w:p>
        </w:tc>
        <w:tc>
          <w:tcPr>
            <w:tcW w:w="2722" w:type="dxa"/>
            <w:noWrap w:val="0"/>
            <w:vAlign w:val="center"/>
          </w:tcPr>
          <w:p w14:paraId="00B88AFC">
            <w:pPr>
              <w:adjustRightInd w:val="0"/>
              <w:snapToGrid w:val="0"/>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220V</w:t>
            </w:r>
          </w:p>
        </w:tc>
        <w:tc>
          <w:tcPr>
            <w:tcW w:w="640" w:type="dxa"/>
            <w:vMerge w:val="continue"/>
            <w:noWrap w:val="0"/>
            <w:vAlign w:val="top"/>
          </w:tcPr>
          <w:p w14:paraId="0E8FC7ED">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10E0219E">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27D7F3CF">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14DB626D">
            <w:pPr>
              <w:adjustRightInd w:val="0"/>
              <w:snapToGrid w:val="0"/>
              <w:spacing w:line="500" w:lineRule="exact"/>
              <w:ind w:firstLine="480" w:firstLineChars="200"/>
              <w:rPr>
                <w:rFonts w:hint="eastAsia" w:ascii="宋体" w:hAnsi="宋体" w:eastAsia="宋体" w:cs="宋体"/>
                <w:sz w:val="24"/>
                <w:szCs w:val="24"/>
              </w:rPr>
            </w:pPr>
          </w:p>
        </w:tc>
      </w:tr>
      <w:tr w14:paraId="437C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5" w:type="dxa"/>
            <w:vMerge w:val="continue"/>
            <w:noWrap w:val="0"/>
            <w:vAlign w:val="center"/>
          </w:tcPr>
          <w:p w14:paraId="28E4215E">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796A30AC">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功率</w:t>
            </w:r>
          </w:p>
        </w:tc>
        <w:tc>
          <w:tcPr>
            <w:tcW w:w="2722" w:type="dxa"/>
            <w:noWrap w:val="0"/>
            <w:vAlign w:val="center"/>
          </w:tcPr>
          <w:p w14:paraId="12CE6C2E">
            <w:pPr>
              <w:adjustRightInd w:val="0"/>
              <w:snapToGrid w:val="0"/>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110</w:t>
            </w:r>
            <w:bookmarkStart w:id="66" w:name="_GoBack"/>
            <w:bookmarkEnd w:id="66"/>
            <w:r>
              <w:rPr>
                <w:rFonts w:hint="eastAsia" w:ascii="宋体" w:hAnsi="宋体" w:eastAsia="宋体" w:cs="宋体"/>
                <w:sz w:val="24"/>
                <w:szCs w:val="24"/>
              </w:rPr>
              <w:t>0W</w:t>
            </w:r>
          </w:p>
        </w:tc>
        <w:tc>
          <w:tcPr>
            <w:tcW w:w="640" w:type="dxa"/>
            <w:vMerge w:val="continue"/>
            <w:noWrap w:val="0"/>
            <w:vAlign w:val="top"/>
          </w:tcPr>
          <w:p w14:paraId="22949431">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0FE97454">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1F6E8D44">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6E4CFDE5">
            <w:pPr>
              <w:adjustRightInd w:val="0"/>
              <w:snapToGrid w:val="0"/>
              <w:spacing w:line="500" w:lineRule="exact"/>
              <w:ind w:firstLine="480" w:firstLineChars="200"/>
              <w:rPr>
                <w:rFonts w:hint="eastAsia" w:ascii="宋体" w:hAnsi="宋体" w:eastAsia="宋体" w:cs="宋体"/>
                <w:sz w:val="24"/>
                <w:szCs w:val="24"/>
              </w:rPr>
            </w:pPr>
          </w:p>
        </w:tc>
      </w:tr>
      <w:tr w14:paraId="7A67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5" w:type="dxa"/>
            <w:vMerge w:val="continue"/>
            <w:noWrap w:val="0"/>
            <w:vAlign w:val="center"/>
          </w:tcPr>
          <w:p w14:paraId="22A47FA9">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00C18E65">
            <w:pPr>
              <w:adjustRightInd w:val="0"/>
              <w:snapToGri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处理量</w:t>
            </w:r>
          </w:p>
        </w:tc>
        <w:tc>
          <w:tcPr>
            <w:tcW w:w="2722" w:type="dxa"/>
            <w:noWrap w:val="0"/>
            <w:vAlign w:val="center"/>
          </w:tcPr>
          <w:p w14:paraId="3584F94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200-300kg/h</w:t>
            </w:r>
          </w:p>
        </w:tc>
        <w:tc>
          <w:tcPr>
            <w:tcW w:w="640" w:type="dxa"/>
            <w:vMerge w:val="continue"/>
            <w:noWrap w:val="0"/>
            <w:vAlign w:val="top"/>
          </w:tcPr>
          <w:p w14:paraId="05166A6C">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5AC0DA9A">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386FED88">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72F3FE59">
            <w:pPr>
              <w:adjustRightInd w:val="0"/>
              <w:snapToGrid w:val="0"/>
              <w:spacing w:line="500" w:lineRule="exact"/>
              <w:ind w:firstLine="480" w:firstLineChars="200"/>
              <w:rPr>
                <w:rFonts w:hint="eastAsia" w:ascii="宋体" w:hAnsi="宋体" w:eastAsia="宋体" w:cs="宋体"/>
                <w:sz w:val="24"/>
                <w:szCs w:val="24"/>
              </w:rPr>
            </w:pPr>
          </w:p>
        </w:tc>
      </w:tr>
      <w:tr w14:paraId="1CC0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05" w:type="dxa"/>
            <w:vMerge w:val="continue"/>
            <w:noWrap w:val="0"/>
            <w:vAlign w:val="center"/>
          </w:tcPr>
          <w:p w14:paraId="4209349E">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4BA216B3">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外尺寸</w:t>
            </w:r>
          </w:p>
        </w:tc>
        <w:tc>
          <w:tcPr>
            <w:tcW w:w="2722" w:type="dxa"/>
            <w:noWrap w:val="0"/>
            <w:vAlign w:val="center"/>
          </w:tcPr>
          <w:p w14:paraId="6B62E16B">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1400*870*1100mm（最小要求）</w:t>
            </w:r>
          </w:p>
        </w:tc>
        <w:tc>
          <w:tcPr>
            <w:tcW w:w="640" w:type="dxa"/>
            <w:vMerge w:val="continue"/>
            <w:noWrap w:val="0"/>
            <w:vAlign w:val="top"/>
          </w:tcPr>
          <w:p w14:paraId="5D4C1CEE">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26805341">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098BA19F">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7E2E6DF1">
            <w:pPr>
              <w:adjustRightInd w:val="0"/>
              <w:snapToGrid w:val="0"/>
              <w:spacing w:line="500" w:lineRule="exact"/>
              <w:ind w:firstLine="480" w:firstLineChars="200"/>
              <w:rPr>
                <w:rFonts w:hint="eastAsia" w:ascii="宋体" w:hAnsi="宋体" w:eastAsia="宋体" w:cs="宋体"/>
                <w:sz w:val="24"/>
                <w:szCs w:val="24"/>
              </w:rPr>
            </w:pPr>
          </w:p>
        </w:tc>
      </w:tr>
      <w:tr w14:paraId="62D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5" w:type="dxa"/>
            <w:vMerge w:val="continue"/>
            <w:noWrap w:val="0"/>
            <w:vAlign w:val="center"/>
          </w:tcPr>
          <w:p w14:paraId="756E38CA">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095FF5B6">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内尺寸</w:t>
            </w:r>
          </w:p>
        </w:tc>
        <w:tc>
          <w:tcPr>
            <w:tcW w:w="2722" w:type="dxa"/>
            <w:noWrap w:val="0"/>
            <w:vAlign w:val="center"/>
          </w:tcPr>
          <w:p w14:paraId="6E4AF1FA">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1200*650mm（最小要求）</w:t>
            </w:r>
          </w:p>
        </w:tc>
        <w:tc>
          <w:tcPr>
            <w:tcW w:w="640" w:type="dxa"/>
            <w:vMerge w:val="continue"/>
            <w:noWrap w:val="0"/>
            <w:vAlign w:val="top"/>
          </w:tcPr>
          <w:p w14:paraId="57F66D0F">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275A1474">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7E99E5E2">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2744E17D">
            <w:pPr>
              <w:adjustRightInd w:val="0"/>
              <w:snapToGrid w:val="0"/>
              <w:spacing w:line="500" w:lineRule="exact"/>
              <w:ind w:firstLine="480" w:firstLineChars="200"/>
              <w:rPr>
                <w:rFonts w:hint="eastAsia" w:ascii="宋体" w:hAnsi="宋体" w:eastAsia="宋体" w:cs="宋体"/>
                <w:sz w:val="24"/>
                <w:szCs w:val="24"/>
              </w:rPr>
            </w:pPr>
          </w:p>
        </w:tc>
      </w:tr>
      <w:tr w14:paraId="4921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5" w:type="dxa"/>
            <w:vMerge w:val="continue"/>
            <w:noWrap w:val="0"/>
            <w:vAlign w:val="center"/>
          </w:tcPr>
          <w:p w14:paraId="6A89E9D5">
            <w:pPr>
              <w:adjustRightInd w:val="0"/>
              <w:snapToGrid w:val="0"/>
              <w:spacing w:line="500" w:lineRule="exact"/>
              <w:ind w:firstLine="480" w:firstLineChars="200"/>
              <w:jc w:val="center"/>
              <w:rPr>
                <w:rFonts w:hint="eastAsia" w:ascii="宋体" w:hAnsi="宋体" w:eastAsia="宋体" w:cs="宋体"/>
                <w:sz w:val="24"/>
                <w:szCs w:val="24"/>
              </w:rPr>
            </w:pPr>
          </w:p>
        </w:tc>
        <w:tc>
          <w:tcPr>
            <w:tcW w:w="998" w:type="dxa"/>
            <w:noWrap w:val="0"/>
            <w:vAlign w:val="center"/>
          </w:tcPr>
          <w:p w14:paraId="4C018084">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重量</w:t>
            </w:r>
          </w:p>
        </w:tc>
        <w:tc>
          <w:tcPr>
            <w:tcW w:w="2722" w:type="dxa"/>
            <w:noWrap w:val="0"/>
            <w:vAlign w:val="center"/>
          </w:tcPr>
          <w:p w14:paraId="64C59EEF">
            <w:pPr>
              <w:adjustRightInd w:val="0"/>
              <w:snapToGrid w:val="0"/>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≥850kg</w:t>
            </w:r>
          </w:p>
        </w:tc>
        <w:tc>
          <w:tcPr>
            <w:tcW w:w="640" w:type="dxa"/>
            <w:vMerge w:val="continue"/>
            <w:noWrap w:val="0"/>
            <w:vAlign w:val="top"/>
          </w:tcPr>
          <w:p w14:paraId="366413F4">
            <w:pPr>
              <w:adjustRightInd w:val="0"/>
              <w:snapToGrid w:val="0"/>
              <w:spacing w:line="500" w:lineRule="exact"/>
              <w:ind w:firstLine="480" w:firstLineChars="200"/>
              <w:rPr>
                <w:rFonts w:hint="eastAsia" w:ascii="宋体" w:hAnsi="宋体" w:eastAsia="宋体" w:cs="宋体"/>
                <w:sz w:val="24"/>
                <w:szCs w:val="24"/>
              </w:rPr>
            </w:pPr>
          </w:p>
        </w:tc>
        <w:tc>
          <w:tcPr>
            <w:tcW w:w="752" w:type="dxa"/>
            <w:vMerge w:val="continue"/>
            <w:noWrap w:val="0"/>
            <w:vAlign w:val="top"/>
          </w:tcPr>
          <w:p w14:paraId="52D50CB3">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0AF67D41">
            <w:pPr>
              <w:adjustRightInd w:val="0"/>
              <w:snapToGrid w:val="0"/>
              <w:spacing w:line="500" w:lineRule="exact"/>
              <w:ind w:firstLine="480" w:firstLineChars="200"/>
              <w:rPr>
                <w:rFonts w:hint="eastAsia" w:ascii="宋体" w:hAnsi="宋体" w:eastAsia="宋体" w:cs="宋体"/>
                <w:sz w:val="24"/>
                <w:szCs w:val="24"/>
              </w:rPr>
            </w:pPr>
          </w:p>
        </w:tc>
        <w:tc>
          <w:tcPr>
            <w:tcW w:w="939" w:type="dxa"/>
            <w:vMerge w:val="continue"/>
            <w:tcBorders/>
            <w:noWrap w:val="0"/>
            <w:vAlign w:val="top"/>
          </w:tcPr>
          <w:p w14:paraId="1C1D1CF7">
            <w:pPr>
              <w:adjustRightInd w:val="0"/>
              <w:snapToGrid w:val="0"/>
              <w:spacing w:line="500" w:lineRule="exact"/>
              <w:ind w:firstLine="480" w:firstLineChars="200"/>
              <w:rPr>
                <w:rFonts w:hint="eastAsia" w:ascii="宋体" w:hAnsi="宋体" w:eastAsia="宋体" w:cs="宋体"/>
                <w:sz w:val="24"/>
                <w:szCs w:val="24"/>
              </w:rPr>
            </w:pPr>
          </w:p>
        </w:tc>
      </w:tr>
      <w:tr w14:paraId="0B87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95" w:type="dxa"/>
            <w:gridSpan w:val="7"/>
            <w:tcBorders/>
            <w:noWrap w:val="0"/>
            <w:vAlign w:val="center"/>
          </w:tcPr>
          <w:p w14:paraId="28FC4AFF">
            <w:pPr>
              <w:adjustRightInd w:val="0"/>
              <w:snapToGrid w:val="0"/>
              <w:spacing w:line="500" w:lineRule="exact"/>
              <w:rPr>
                <w:rFonts w:hint="default" w:ascii="宋体" w:hAnsi="宋体" w:eastAsia="宋体" w:cs="宋体"/>
                <w:sz w:val="24"/>
                <w:szCs w:val="24"/>
                <w:lang w:val="en-US" w:eastAsia="zh-CN"/>
              </w:rPr>
            </w:pPr>
            <w:r>
              <w:rPr>
                <w:rFonts w:hint="eastAsia" w:ascii="宋体" w:hAnsi="宋体" w:cs="宋体"/>
                <w:sz w:val="24"/>
                <w:szCs w:val="24"/>
                <w:lang w:eastAsia="zh-CN"/>
              </w:rPr>
              <w:t>总价：大写：</w:t>
            </w:r>
            <w:r>
              <w:rPr>
                <w:rFonts w:hint="eastAsia" w:ascii="宋体" w:hAnsi="宋体" w:cs="宋体"/>
                <w:sz w:val="24"/>
                <w:szCs w:val="24"/>
                <w:lang w:val="en-US" w:eastAsia="zh-CN"/>
              </w:rPr>
              <w:t xml:space="preserve">                   ；小写：                。</w:t>
            </w:r>
          </w:p>
        </w:tc>
      </w:tr>
    </w:tbl>
    <w:p w14:paraId="1AD10D92"/>
    <w:p w14:paraId="3A02EF97">
      <w:pPr>
        <w:snapToGrid w:val="0"/>
        <w:spacing w:line="360" w:lineRule="auto"/>
        <w:rPr>
          <w:rFonts w:hint="eastAsia" w:ascii="宋体" w:hAnsi="宋体" w:eastAsia="宋体" w:cs="宋体"/>
          <w:b/>
          <w:sz w:val="24"/>
          <w:highlight w:val="none"/>
          <w:lang w:val="zh-CN"/>
        </w:rPr>
      </w:pPr>
      <w:r>
        <w:rPr>
          <w:rFonts w:hint="eastAsia" w:ascii="宋体" w:hAnsi="宋体" w:cs="宋体"/>
          <w:b/>
          <w:sz w:val="24"/>
          <w:highlight w:val="none"/>
        </w:rPr>
        <w:t>注：1.本项目一次性报价，</w:t>
      </w:r>
      <w:r>
        <w:rPr>
          <w:rFonts w:hint="eastAsia" w:ascii="宋体" w:hAnsi="宋体" w:eastAsia="宋体" w:cs="宋体"/>
          <w:b/>
          <w:sz w:val="24"/>
          <w:highlight w:val="none"/>
          <w:lang w:val="zh-CN"/>
        </w:rPr>
        <w:t>请各供应商务必按照以上要求填报，否则作为无效响应处理。</w:t>
      </w:r>
    </w:p>
    <w:p w14:paraId="49C133D3">
      <w:pPr>
        <w:snapToGrid w:val="0"/>
        <w:spacing w:line="360" w:lineRule="auto"/>
        <w:rPr>
          <w:rFonts w:hint="eastAsia" w:ascii="宋体" w:hAnsi="宋体" w:eastAsia="宋体" w:cs="宋体"/>
          <w:b/>
          <w:sz w:val="24"/>
          <w:highlight w:val="none"/>
          <w:lang w:val="zh-CN"/>
        </w:rPr>
      </w:pPr>
      <w:r>
        <w:rPr>
          <w:rFonts w:hint="eastAsia" w:ascii="宋体" w:hAnsi="宋体" w:eastAsia="宋体" w:cs="宋体"/>
          <w:b/>
          <w:sz w:val="24"/>
          <w:highlight w:val="none"/>
          <w:lang w:val="zh-CN"/>
        </w:rPr>
        <w:t>2.</w:t>
      </w:r>
      <w:r>
        <w:rPr>
          <w:rFonts w:hint="eastAsia" w:ascii="宋体" w:hAnsi="宋体" w:cs="宋体"/>
          <w:b/>
          <w:sz w:val="24"/>
          <w:highlight w:val="none"/>
          <w:lang w:val="zh-CN"/>
        </w:rPr>
        <w:t>本表</w:t>
      </w:r>
      <w:r>
        <w:rPr>
          <w:rFonts w:hint="eastAsia" w:ascii="宋体" w:hAnsi="宋体" w:eastAsia="宋体" w:cs="宋体"/>
          <w:b/>
          <w:sz w:val="24"/>
          <w:highlight w:val="none"/>
          <w:lang w:val="zh-CN"/>
        </w:rPr>
        <w:t>随中标（成交）结果公告进行公示。内容不实的，属于提供虚假材料谋取中标、成交，依照《中华人民共和国政府采购法》等国家有关规定追究相应责任。</w:t>
      </w:r>
    </w:p>
    <w:p w14:paraId="71FF2216">
      <w:pPr>
        <w:snapToGrid w:val="0"/>
        <w:spacing w:line="300" w:lineRule="auto"/>
        <w:outlineLvl w:val="0"/>
        <w:rPr>
          <w:rFonts w:hint="eastAsia" w:ascii="Times New Roman" w:hAnsi="Times New Roman" w:eastAsia="方正黑体_GBK"/>
          <w:color w:val="auto"/>
          <w:sz w:val="32"/>
          <w:szCs w:val="32"/>
          <w:highlight w:val="none"/>
          <w:lang w:eastAsia="zh-CN"/>
        </w:rPr>
      </w:pPr>
      <w:r>
        <w:rPr>
          <w:rFonts w:hint="eastAsia" w:ascii="宋体" w:hAnsi="宋体" w:cs="宋体"/>
          <w:b/>
          <w:bCs/>
          <w:color w:val="auto"/>
          <w:sz w:val="24"/>
          <w:highlight w:val="none"/>
          <w:lang w:val="en-US" w:eastAsia="zh-CN"/>
        </w:rPr>
        <w:t>3.单价或总价报价最多保留2位小数，否则视为无效报价。</w:t>
      </w:r>
      <w:r>
        <w:rPr>
          <w:rFonts w:hint="eastAsia" w:ascii="宋体" w:hAnsi="宋体" w:eastAsia="宋体" w:cs="宋体"/>
          <w:b/>
          <w:bCs/>
          <w:color w:val="auto"/>
          <w:sz w:val="24"/>
          <w:highlight w:val="none"/>
        </w:rPr>
        <w:br w:type="page"/>
      </w: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9</w:t>
      </w:r>
    </w:p>
    <w:p w14:paraId="07D223E7">
      <w:pPr>
        <w:snapToGrid w:val="0"/>
        <w:spacing w:line="300" w:lineRule="auto"/>
        <w:jc w:val="center"/>
        <w:outlineLvl w:val="0"/>
        <w:rPr>
          <w:rFonts w:ascii="Times New Roman" w:hAnsi="Times New Roman"/>
          <w:b/>
          <w:bCs/>
          <w:color w:val="auto"/>
          <w:sz w:val="28"/>
          <w:szCs w:val="28"/>
          <w:highlight w:val="none"/>
          <w:lang w:bidi="zh-CN"/>
        </w:rPr>
      </w:pPr>
      <w:r>
        <w:rPr>
          <w:rFonts w:ascii="Times New Roman" w:hAnsi="Times New Roman"/>
          <w:b/>
          <w:bCs/>
          <w:color w:val="auto"/>
          <w:sz w:val="28"/>
          <w:szCs w:val="28"/>
          <w:highlight w:val="none"/>
          <w:lang w:bidi="zh-CN"/>
        </w:rPr>
        <w:t>中小企业声明函（货物）</w:t>
      </w:r>
    </w:p>
    <w:p w14:paraId="23B80C84">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本公司（联合体）郑重声明，根据《政府采购促进中小企业发展管理办法》（财库</w:t>
      </w:r>
      <w:r>
        <w:rPr>
          <w:rFonts w:hint="eastAsia" w:ascii="宋体" w:hAnsi="宋体"/>
          <w:color w:val="auto"/>
          <w:sz w:val="28"/>
          <w:szCs w:val="28"/>
          <w:highlight w:val="none"/>
        </w:rPr>
        <w:t>〔</w:t>
      </w:r>
      <w:r>
        <w:rPr>
          <w:rFonts w:ascii="Times New Roman" w:hAnsi="Times New Roman"/>
          <w:color w:val="auto"/>
          <w:sz w:val="28"/>
          <w:szCs w:val="28"/>
          <w:highlight w:val="none"/>
          <w:lang w:bidi="zh-CN"/>
        </w:rPr>
        <w:t>2020</w:t>
      </w:r>
      <w:r>
        <w:rPr>
          <w:rFonts w:hint="eastAsia" w:ascii="宋体" w:hAnsi="宋体"/>
          <w:color w:val="auto"/>
          <w:sz w:val="28"/>
          <w:szCs w:val="28"/>
          <w:highlight w:val="none"/>
        </w:rPr>
        <w:t>〕</w:t>
      </w:r>
      <w:r>
        <w:rPr>
          <w:rFonts w:ascii="Times New Roman" w:hAnsi="Times New Roman"/>
          <w:color w:val="auto"/>
          <w:sz w:val="28"/>
          <w:szCs w:val="28"/>
          <w:highlight w:val="none"/>
          <w:lang w:bidi="zh-CN"/>
        </w:rPr>
        <w:t>46号）的规定，本公司（联合体）参加</w:t>
      </w:r>
      <w:r>
        <w:rPr>
          <w:rFonts w:ascii="Times New Roman" w:hAnsi="Times New Roman"/>
          <w:color w:val="auto"/>
          <w:sz w:val="28"/>
          <w:szCs w:val="28"/>
          <w:highlight w:val="none"/>
          <w:u w:val="single"/>
          <w:lang w:bidi="zh-CN"/>
        </w:rPr>
        <w:t>（单位名称）</w:t>
      </w:r>
      <w:r>
        <w:rPr>
          <w:rFonts w:ascii="Times New Roman" w:hAnsi="Times New Roman"/>
          <w:color w:val="auto"/>
          <w:sz w:val="28"/>
          <w:szCs w:val="28"/>
          <w:highlight w:val="none"/>
          <w:lang w:bidi="zh-CN"/>
        </w:rPr>
        <w:t>的</w:t>
      </w:r>
      <w:r>
        <w:rPr>
          <w:rFonts w:ascii="Times New Roman" w:hAnsi="Times New Roman"/>
          <w:color w:val="auto"/>
          <w:sz w:val="28"/>
          <w:szCs w:val="28"/>
          <w:highlight w:val="none"/>
          <w:u w:val="single"/>
          <w:lang w:bidi="zh-CN"/>
        </w:rPr>
        <w:t>（项目名称）</w:t>
      </w:r>
      <w:r>
        <w:rPr>
          <w:rFonts w:ascii="Times New Roman" w:hAnsi="Times New Roman"/>
          <w:color w:val="auto"/>
          <w:sz w:val="28"/>
          <w:szCs w:val="28"/>
          <w:highlight w:val="none"/>
          <w:lang w:bidi="zh-CN"/>
        </w:rPr>
        <w:t>采购活动，提供的货物全部由符合政策要求的中小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企业制造。相关企业（含联合体中的中小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企业、签订分包意向协议的中小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企业）的具体情况如下：</w:t>
      </w:r>
    </w:p>
    <w:p w14:paraId="66C4F540">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1.</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D01752A">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2.</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BF888BA">
      <w:pPr>
        <w:snapToGrid w:val="0"/>
        <w:spacing w:line="360" w:lineRule="auto"/>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w:t>
      </w:r>
    </w:p>
    <w:p w14:paraId="78A21172">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本企业对上述声明内容的真实性负责。如有虚假，将依法承担相应责任。</w:t>
      </w:r>
    </w:p>
    <w:p w14:paraId="798C32AD">
      <w:pPr>
        <w:snapToGrid w:val="0"/>
        <w:spacing w:line="300" w:lineRule="auto"/>
        <w:outlineLvl w:val="0"/>
        <w:rPr>
          <w:rFonts w:ascii="Times New Roman" w:hAnsi="Times New Roman"/>
          <w:color w:val="auto"/>
          <w:sz w:val="28"/>
          <w:szCs w:val="28"/>
          <w:highlight w:val="none"/>
          <w:lang w:bidi="zh-CN"/>
        </w:rPr>
      </w:pPr>
    </w:p>
    <w:p w14:paraId="4EDF9037">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color w:val="auto"/>
          <w:szCs w:val="21"/>
          <w:highlight w:val="none"/>
          <w:lang w:bidi="zh-CN"/>
        </w:rPr>
      </w:pPr>
      <w:r>
        <w:rPr>
          <w:rFonts w:ascii="宋体" w:hAnsi="宋体" w:cs="宋体"/>
          <w:color w:val="auto"/>
          <w:szCs w:val="21"/>
          <w:highlight w:val="none"/>
          <w:lang w:bidi="zh-CN"/>
        </w:rPr>
        <w:t>2</w:t>
      </w:r>
      <w:r>
        <w:rPr>
          <w:rFonts w:hint="eastAsia" w:ascii="宋体" w:hAnsi="宋体" w:cs="宋体"/>
          <w:color w:val="auto"/>
          <w:szCs w:val="21"/>
          <w:highlight w:val="none"/>
          <w:lang w:bidi="zh-CN"/>
        </w:rPr>
        <w:t>.投标供应商须根据上述要求，详细列明货物清单中所有产品制造商的具体情况，否则不能享受中小微企业扶持政策。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color w:val="auto"/>
          <w:sz w:val="28"/>
          <w:szCs w:val="28"/>
          <w:highlight w:val="none"/>
          <w:lang w:bidi="zh-CN"/>
        </w:rPr>
      </w:pPr>
      <w:r>
        <w:rPr>
          <w:rFonts w:ascii="宋体" w:hAnsi="宋体" w:cs="宋体"/>
          <w:color w:val="auto"/>
          <w:szCs w:val="21"/>
          <w:highlight w:val="none"/>
          <w:lang w:bidi="zh-CN"/>
        </w:rPr>
        <w:t>3</w:t>
      </w:r>
      <w:r>
        <w:rPr>
          <w:rFonts w:hint="eastAsia" w:ascii="宋体" w:hAnsi="宋体" w:cs="宋体"/>
          <w:color w:val="auto"/>
          <w:szCs w:val="21"/>
          <w:highlight w:val="none"/>
          <w:lang w:bidi="zh-CN"/>
        </w:rPr>
        <w:t>.中标</w:t>
      </w:r>
      <w:r>
        <w:rPr>
          <w:rFonts w:ascii="宋体" w:hAnsi="宋体" w:cs="宋体"/>
          <w:color w:val="auto"/>
          <w:szCs w:val="21"/>
          <w:highlight w:val="none"/>
          <w:lang w:bidi="zh-CN"/>
        </w:rPr>
        <w:t>（</w:t>
      </w:r>
      <w:r>
        <w:rPr>
          <w:rFonts w:hint="eastAsia" w:ascii="宋体" w:hAnsi="宋体" w:cs="宋体"/>
          <w:color w:val="auto"/>
          <w:szCs w:val="21"/>
          <w:highlight w:val="none"/>
          <w:lang w:bidi="zh-CN"/>
        </w:rPr>
        <w:t>成交</w:t>
      </w:r>
      <w:r>
        <w:rPr>
          <w:rFonts w:ascii="宋体" w:hAnsi="宋体" w:cs="宋体"/>
          <w:color w:val="auto"/>
          <w:szCs w:val="21"/>
          <w:highlight w:val="none"/>
          <w:lang w:bidi="zh-CN"/>
        </w:rPr>
        <w:t>）</w:t>
      </w:r>
      <w:r>
        <w:rPr>
          <w:rFonts w:hint="eastAsia" w:ascii="宋体" w:hAnsi="宋体" w:cs="宋体"/>
          <w:color w:val="auto"/>
          <w:szCs w:val="21"/>
          <w:highlight w:val="none"/>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64A4C10">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企业名称（盖章）：</w:t>
      </w:r>
    </w:p>
    <w:p w14:paraId="37F1FA69">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日期：</w:t>
      </w:r>
    </w:p>
    <w:p w14:paraId="7F80296D">
      <w:pPr>
        <w:snapToGrid w:val="0"/>
        <w:spacing w:line="300" w:lineRule="auto"/>
        <w:outlineLvl w:val="0"/>
        <w:rPr>
          <w:rFonts w:ascii="Times New Roman" w:hAnsi="Times New Roman" w:eastAsia="方正黑体_GBK"/>
          <w:color w:val="auto"/>
          <w:sz w:val="32"/>
          <w:szCs w:val="32"/>
          <w:highlight w:val="none"/>
        </w:rPr>
      </w:pPr>
    </w:p>
    <w:p w14:paraId="792E302A">
      <w:pPr>
        <w:snapToGrid w:val="0"/>
        <w:spacing w:line="300" w:lineRule="auto"/>
        <w:outlineLvl w:val="0"/>
        <w:rPr>
          <w:rFonts w:ascii="Times New Roman" w:hAnsi="Times New Roman" w:eastAsia="方正黑体_GBK"/>
          <w:color w:val="auto"/>
          <w:sz w:val="32"/>
          <w:szCs w:val="32"/>
          <w:highlight w:val="none"/>
        </w:rPr>
      </w:pPr>
    </w:p>
    <w:p w14:paraId="5F111AF0">
      <w:pPr>
        <w:snapToGrid w:val="0"/>
        <w:spacing w:line="300" w:lineRule="auto"/>
        <w:outlineLvl w:val="0"/>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10</w:t>
      </w:r>
    </w:p>
    <w:p w14:paraId="0683F9B0">
      <w:pPr>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293E5939">
      <w:pPr>
        <w:spacing w:line="588"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bCs/>
          <w:color w:val="auto"/>
          <w:sz w:val="24"/>
          <w:szCs w:val="21"/>
          <w:highlight w:val="none"/>
          <w:u w:val="single"/>
        </w:rPr>
        <w:t>________</w:t>
      </w:r>
      <w:r>
        <w:rPr>
          <w:rFonts w:hint="eastAsia" w:ascii="宋体" w:hAnsi="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57F19B33">
      <w:pPr>
        <w:spacing w:line="588" w:lineRule="exact"/>
        <w:ind w:firstLine="536" w:firstLineChars="200"/>
        <w:rPr>
          <w:rFonts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6ADBD5E8">
      <w:pPr>
        <w:spacing w:line="588" w:lineRule="exact"/>
        <w:ind w:firstLine="560" w:firstLineChars="200"/>
        <w:rPr>
          <w:rFonts w:ascii="宋体" w:hAnsi="宋体"/>
          <w:color w:val="auto"/>
          <w:sz w:val="28"/>
          <w:szCs w:val="28"/>
          <w:highlight w:val="none"/>
        </w:rPr>
      </w:pPr>
    </w:p>
    <w:p w14:paraId="0EAA1215">
      <w:pPr>
        <w:spacing w:line="588" w:lineRule="exact"/>
        <w:ind w:firstLine="584" w:firstLineChars="200"/>
        <w:rPr>
          <w:rFonts w:ascii="仿宋_GB2312" w:hAnsi="Times New Roman" w:eastAsia="仿宋_GB2312"/>
          <w:color w:val="auto"/>
          <w:spacing w:val="6"/>
          <w:sz w:val="28"/>
          <w:szCs w:val="28"/>
          <w:highlight w:val="none"/>
        </w:rPr>
      </w:pPr>
    </w:p>
    <w:p w14:paraId="2D845937">
      <w:pPr>
        <w:spacing w:line="588" w:lineRule="exact"/>
        <w:ind w:firstLine="584" w:firstLineChars="200"/>
        <w:rPr>
          <w:rFonts w:ascii="仿宋_GB2312" w:hAnsi="Times New Roman" w:eastAsia="仿宋_GB2312"/>
          <w:color w:val="auto"/>
          <w:spacing w:val="6"/>
          <w:sz w:val="28"/>
          <w:szCs w:val="28"/>
          <w:highlight w:val="none"/>
        </w:rPr>
      </w:pPr>
    </w:p>
    <w:p w14:paraId="495F658D">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6BC7B281">
      <w:pPr>
        <w:spacing w:line="588" w:lineRule="exact"/>
        <w:ind w:firstLine="560" w:firstLineChars="200"/>
        <w:rPr>
          <w:rFonts w:ascii="仿宋_GB2312" w:hAnsi="Times New Roman" w:eastAsia="仿宋_GB2312"/>
          <w:color w:val="auto"/>
          <w:spacing w:val="6"/>
          <w:sz w:val="28"/>
          <w:szCs w:val="28"/>
          <w:highlight w:val="none"/>
        </w:rPr>
      </w:pPr>
      <w:r>
        <w:rPr>
          <w:rFonts w:hint="eastAsia" w:ascii="宋体" w:hAnsi="宋体" w:cs="宋体"/>
          <w:color w:val="auto"/>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17E85C">
      <w:pPr>
        <w:spacing w:line="588" w:lineRule="exact"/>
        <w:ind w:firstLine="584" w:firstLineChars="200"/>
        <w:rPr>
          <w:rFonts w:ascii="仿宋_GB2312" w:hAnsi="Times New Roman" w:eastAsia="仿宋_GB2312"/>
          <w:color w:val="auto"/>
          <w:spacing w:val="6"/>
          <w:sz w:val="28"/>
          <w:szCs w:val="28"/>
          <w:highlight w:val="none"/>
        </w:rPr>
      </w:pPr>
    </w:p>
    <w:p w14:paraId="1B3A0809">
      <w:pPr>
        <w:tabs>
          <w:tab w:val="left" w:pos="4860"/>
        </w:tabs>
        <w:spacing w:line="588" w:lineRule="exact"/>
        <w:ind w:right="1560" w:firstLine="584" w:firstLineChars="200"/>
        <w:jc w:val="center"/>
        <w:rPr>
          <w:rFonts w:ascii="宋体" w:hAnsi="宋体"/>
          <w:color w:val="auto"/>
          <w:sz w:val="28"/>
          <w:szCs w:val="28"/>
          <w:highlight w:val="none"/>
        </w:rPr>
      </w:pPr>
      <w:r>
        <w:rPr>
          <w:rFonts w:hint="eastAsia" w:ascii="仿宋_GB2312" w:hAnsi="Times New Roman" w:eastAsia="仿宋_GB2312"/>
          <w:color w:val="auto"/>
          <w:spacing w:val="6"/>
          <w:sz w:val="28"/>
          <w:szCs w:val="28"/>
          <w:highlight w:val="none"/>
        </w:rPr>
        <w:t xml:space="preserve">             </w:t>
      </w:r>
      <w:r>
        <w:rPr>
          <w:rFonts w:hint="eastAsia" w:ascii="宋体" w:hAnsi="宋体"/>
          <w:color w:val="auto"/>
          <w:sz w:val="28"/>
          <w:szCs w:val="28"/>
          <w:highlight w:val="none"/>
        </w:rPr>
        <w:t xml:space="preserve">          供应商全称（盖章）：</w:t>
      </w:r>
    </w:p>
    <w:p w14:paraId="34ABC640">
      <w:pPr>
        <w:tabs>
          <w:tab w:val="left" w:pos="4860"/>
        </w:tabs>
        <w:spacing w:line="588" w:lineRule="exact"/>
        <w:ind w:right="1560"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 xml:space="preserve">              日  期：</w:t>
      </w:r>
    </w:p>
    <w:p w14:paraId="5A57B05C">
      <w:pPr>
        <w:snapToGrid w:val="0"/>
        <w:spacing w:line="300" w:lineRule="auto"/>
        <w:outlineLvl w:val="0"/>
        <w:rPr>
          <w:rFonts w:ascii="Times New Roman" w:hAnsi="Times New Roman"/>
          <w:color w:val="auto"/>
          <w:sz w:val="28"/>
          <w:szCs w:val="28"/>
          <w:highlight w:val="none"/>
        </w:rPr>
      </w:pPr>
    </w:p>
    <w:p w14:paraId="258CC269">
      <w:pPr>
        <w:snapToGrid w:val="0"/>
        <w:spacing w:line="300" w:lineRule="auto"/>
        <w:outlineLvl w:val="0"/>
        <w:rPr>
          <w:rFonts w:ascii="Times New Roman" w:hAnsi="Times New Roman" w:eastAsia="方正黑体_GBK"/>
          <w:color w:val="auto"/>
          <w:sz w:val="32"/>
          <w:szCs w:val="32"/>
          <w:highlight w:val="none"/>
        </w:rPr>
      </w:pPr>
    </w:p>
    <w:p w14:paraId="5C17A0D6">
      <w:pPr>
        <w:snapToGrid w:val="0"/>
        <w:spacing w:line="300" w:lineRule="auto"/>
        <w:outlineLvl w:val="0"/>
        <w:rPr>
          <w:rFonts w:ascii="Times New Roman" w:hAnsi="Times New Roman" w:eastAsia="方正黑体_GBK"/>
          <w:color w:val="auto"/>
          <w:sz w:val="32"/>
          <w:szCs w:val="32"/>
          <w:highlight w:val="none"/>
        </w:rPr>
      </w:pPr>
    </w:p>
    <w:p w14:paraId="2BB5962C">
      <w:pPr>
        <w:snapToGrid w:val="0"/>
        <w:spacing w:line="300" w:lineRule="auto"/>
        <w:outlineLvl w:val="0"/>
        <w:rPr>
          <w:rFonts w:ascii="Times New Roman" w:hAnsi="Times New Roman" w:eastAsia="方正黑体_GBK"/>
          <w:color w:val="auto"/>
          <w:sz w:val="32"/>
          <w:szCs w:val="32"/>
          <w:highlight w:val="none"/>
        </w:rPr>
      </w:pPr>
    </w:p>
    <w:p w14:paraId="48601F73">
      <w:pPr>
        <w:snapToGrid w:val="0"/>
        <w:spacing w:line="300" w:lineRule="auto"/>
        <w:outlineLvl w:val="0"/>
        <w:rPr>
          <w:rFonts w:ascii="Times New Roman" w:hAnsi="Times New Roman" w:eastAsia="方正黑体_GBK"/>
          <w:color w:val="auto"/>
          <w:sz w:val="32"/>
          <w:szCs w:val="32"/>
          <w:highlight w:val="none"/>
        </w:rPr>
      </w:pPr>
    </w:p>
    <w:p w14:paraId="00BD1EC0">
      <w:pPr>
        <w:snapToGrid w:val="0"/>
        <w:spacing w:line="300" w:lineRule="auto"/>
        <w:outlineLvl w:val="0"/>
        <w:rPr>
          <w:rFonts w:ascii="Times New Roman" w:hAnsi="Times New Roman" w:eastAsia="方正黑体_GBK"/>
          <w:color w:val="auto"/>
          <w:sz w:val="32"/>
          <w:szCs w:val="32"/>
          <w:highlight w:val="none"/>
        </w:rPr>
      </w:pPr>
    </w:p>
    <w:p w14:paraId="1B7F1FFA">
      <w:pPr>
        <w:snapToGrid w:val="0"/>
        <w:spacing w:line="300" w:lineRule="auto"/>
        <w:outlineLvl w:val="0"/>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11</w:t>
      </w:r>
    </w:p>
    <w:p w14:paraId="6953491D">
      <w:pPr>
        <w:snapToGrid w:val="0"/>
        <w:spacing w:line="420" w:lineRule="exact"/>
        <w:jc w:val="center"/>
        <w:outlineLvl w:val="3"/>
        <w:rPr>
          <w:b/>
          <w:bCs/>
          <w:color w:val="auto"/>
          <w:sz w:val="32"/>
          <w:szCs w:val="32"/>
          <w:highlight w:val="none"/>
        </w:rPr>
      </w:pPr>
      <w:r>
        <w:rPr>
          <w:rFonts w:hint="eastAsia"/>
          <w:b/>
          <w:bCs/>
          <w:color w:val="auto"/>
          <w:sz w:val="32"/>
          <w:szCs w:val="32"/>
          <w:highlight w:val="none"/>
        </w:rPr>
        <w:t>监狱和戒毒企业证明材料</w:t>
      </w:r>
    </w:p>
    <w:p w14:paraId="3B28C7B6">
      <w:pPr>
        <w:snapToGrid w:val="0"/>
        <w:spacing w:line="420" w:lineRule="exact"/>
        <w:ind w:firstLine="495" w:firstLineChars="177"/>
        <w:rPr>
          <w:rFonts w:ascii="宋体" w:hAnsi="宋体" w:cs="宋体"/>
          <w:color w:val="auto"/>
          <w:sz w:val="28"/>
          <w:szCs w:val="28"/>
          <w:highlight w:val="none"/>
        </w:rPr>
      </w:pPr>
    </w:p>
    <w:p w14:paraId="2682535B">
      <w:pPr>
        <w:snapToGrid w:val="0"/>
        <w:spacing w:line="420" w:lineRule="exact"/>
        <w:ind w:firstLine="495"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70C49369">
      <w:pPr>
        <w:snapToGrid w:val="0"/>
        <w:spacing w:line="420" w:lineRule="exact"/>
        <w:ind w:firstLine="495" w:firstLineChars="177"/>
        <w:rPr>
          <w:rFonts w:ascii="宋体" w:hAnsi="宋体" w:cs="宋体"/>
          <w:color w:val="auto"/>
          <w:sz w:val="28"/>
          <w:szCs w:val="28"/>
          <w:highlight w:val="none"/>
        </w:rPr>
      </w:pPr>
    </w:p>
    <w:p w14:paraId="40581CAE">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510AAB">
      <w:pPr>
        <w:pStyle w:val="6"/>
        <w:rPr>
          <w:color w:val="auto"/>
          <w:highlight w:val="none"/>
        </w:rPr>
      </w:pPr>
    </w:p>
    <w:p w14:paraId="3312F23A">
      <w:pPr>
        <w:rPr>
          <w:color w:val="auto"/>
          <w:highlight w:val="none"/>
        </w:rPr>
      </w:pPr>
    </w:p>
    <w:p w14:paraId="78E36612">
      <w:pPr>
        <w:pStyle w:val="6"/>
        <w:rPr>
          <w:color w:val="auto"/>
          <w:highlight w:val="none"/>
        </w:rPr>
      </w:pPr>
    </w:p>
    <w:p w14:paraId="46CFB9EC">
      <w:pPr>
        <w:snapToGrid w:val="0"/>
        <w:spacing w:line="300" w:lineRule="auto"/>
        <w:outlineLvl w:val="0"/>
        <w:rPr>
          <w:rFonts w:ascii="Times New Roman" w:hAnsi="Times New Roman"/>
          <w:color w:val="auto"/>
          <w:sz w:val="28"/>
          <w:szCs w:val="28"/>
          <w:highlight w:val="none"/>
        </w:rPr>
      </w:pPr>
    </w:p>
    <w:p w14:paraId="2A1C7677">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324053E7">
      <w:pPr>
        <w:snapToGrid w:val="0"/>
        <w:spacing w:line="300" w:lineRule="auto"/>
        <w:ind w:firstLine="560" w:firstLineChars="200"/>
        <w:outlineLvl w:val="0"/>
        <w:rPr>
          <w:rFonts w:ascii="Times New Roman" w:hAnsi="Times New Roman"/>
          <w:color w:val="auto"/>
          <w:sz w:val="28"/>
          <w:szCs w:val="28"/>
          <w:highlight w:val="none"/>
        </w:rPr>
      </w:pPr>
      <w:r>
        <w:rPr>
          <w:rFonts w:hint="eastAsia" w:ascii="宋体" w:hAnsi="宋体" w:cs="宋体"/>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223AE93">
      <w:pPr>
        <w:snapToGrid w:val="0"/>
        <w:spacing w:line="300" w:lineRule="auto"/>
        <w:outlineLvl w:val="0"/>
        <w:rPr>
          <w:rFonts w:ascii="Times New Roman" w:hAnsi="Times New Roman"/>
          <w:color w:val="auto"/>
          <w:sz w:val="28"/>
          <w:szCs w:val="28"/>
          <w:highlight w:val="none"/>
        </w:rPr>
      </w:pPr>
    </w:p>
    <w:p w14:paraId="193CDDAC">
      <w:pPr>
        <w:snapToGrid w:val="0"/>
        <w:spacing w:line="300" w:lineRule="auto"/>
        <w:outlineLvl w:val="0"/>
        <w:rPr>
          <w:rFonts w:ascii="Times New Roman" w:hAnsi="Times New Roman"/>
          <w:color w:val="auto"/>
          <w:sz w:val="28"/>
          <w:szCs w:val="28"/>
          <w:highlight w:val="none"/>
        </w:rPr>
      </w:pPr>
    </w:p>
    <w:p w14:paraId="0C6800D1">
      <w:pPr>
        <w:snapToGrid w:val="0"/>
        <w:spacing w:line="300" w:lineRule="auto"/>
        <w:outlineLvl w:val="0"/>
        <w:rPr>
          <w:rFonts w:ascii="Times New Roman" w:hAnsi="Times New Roman"/>
          <w:color w:val="auto"/>
          <w:sz w:val="28"/>
          <w:szCs w:val="28"/>
          <w:highlight w:val="none"/>
        </w:rPr>
      </w:pPr>
    </w:p>
    <w:p w14:paraId="24C47ECB">
      <w:pPr>
        <w:snapToGrid w:val="0"/>
        <w:spacing w:line="300" w:lineRule="auto"/>
        <w:outlineLvl w:val="0"/>
        <w:rPr>
          <w:rFonts w:ascii="Times New Roman" w:hAnsi="Times New Roman"/>
          <w:color w:val="auto"/>
          <w:sz w:val="28"/>
          <w:szCs w:val="28"/>
          <w:highlight w:val="none"/>
        </w:rPr>
      </w:pPr>
    </w:p>
    <w:p w14:paraId="5417ED0D">
      <w:pPr>
        <w:snapToGrid w:val="0"/>
        <w:spacing w:line="300" w:lineRule="auto"/>
        <w:outlineLvl w:val="0"/>
        <w:rPr>
          <w:rFonts w:ascii="Times New Roman" w:hAnsi="Times New Roman"/>
          <w:color w:val="auto"/>
          <w:sz w:val="28"/>
          <w:szCs w:val="28"/>
          <w:highlight w:val="none"/>
        </w:rPr>
      </w:pPr>
    </w:p>
    <w:p w14:paraId="4FDE8258">
      <w:pPr>
        <w:snapToGrid w:val="0"/>
        <w:spacing w:line="300" w:lineRule="auto"/>
        <w:outlineLvl w:val="0"/>
        <w:rPr>
          <w:rFonts w:ascii="Times New Roman" w:hAnsi="Times New Roman"/>
          <w:color w:val="auto"/>
          <w:sz w:val="28"/>
          <w:szCs w:val="28"/>
          <w:highlight w:val="none"/>
        </w:rPr>
      </w:pPr>
    </w:p>
    <w:p w14:paraId="3AC435DA">
      <w:pPr>
        <w:snapToGrid w:val="0"/>
        <w:spacing w:line="300" w:lineRule="auto"/>
        <w:outlineLvl w:val="0"/>
        <w:rPr>
          <w:rFonts w:ascii="Times New Roman" w:hAnsi="Times New Roman"/>
          <w:color w:val="auto"/>
          <w:sz w:val="28"/>
          <w:szCs w:val="28"/>
          <w:highlight w:val="none"/>
        </w:rPr>
      </w:pPr>
    </w:p>
    <w:p w14:paraId="4B5EE140">
      <w:pPr>
        <w:snapToGrid w:val="0"/>
        <w:spacing w:line="300" w:lineRule="auto"/>
        <w:outlineLvl w:val="0"/>
        <w:rPr>
          <w:rFonts w:ascii="Times New Roman" w:hAnsi="Times New Roman"/>
          <w:color w:val="auto"/>
          <w:sz w:val="28"/>
          <w:szCs w:val="28"/>
          <w:highlight w:val="none"/>
        </w:rPr>
      </w:pPr>
    </w:p>
    <w:p w14:paraId="10B235C6">
      <w:pPr>
        <w:snapToGrid w:val="0"/>
        <w:spacing w:line="300" w:lineRule="auto"/>
        <w:outlineLvl w:val="0"/>
        <w:rPr>
          <w:rFonts w:ascii="Times New Roman" w:hAnsi="Times New Roman"/>
          <w:color w:val="auto"/>
          <w:sz w:val="28"/>
          <w:szCs w:val="28"/>
          <w:highlight w:val="none"/>
        </w:rPr>
      </w:pPr>
    </w:p>
    <w:p w14:paraId="07B4A50F">
      <w:pPr>
        <w:snapToGrid w:val="0"/>
        <w:spacing w:line="300" w:lineRule="auto"/>
        <w:outlineLvl w:val="0"/>
        <w:rPr>
          <w:rFonts w:ascii="Times New Roman" w:hAnsi="Times New Roman"/>
          <w:color w:val="auto"/>
          <w:sz w:val="28"/>
          <w:szCs w:val="28"/>
          <w:highlight w:val="none"/>
        </w:rPr>
      </w:pPr>
    </w:p>
    <w:p w14:paraId="3888494D">
      <w:pPr>
        <w:snapToGrid w:val="0"/>
        <w:spacing w:line="300" w:lineRule="auto"/>
        <w:outlineLvl w:val="0"/>
        <w:rPr>
          <w:rFonts w:ascii="Times New Roman" w:hAnsi="Times New Roman"/>
          <w:color w:val="auto"/>
          <w:sz w:val="28"/>
          <w:szCs w:val="28"/>
          <w:highlight w:val="none"/>
        </w:rPr>
      </w:pPr>
    </w:p>
    <w:p w14:paraId="12E00407">
      <w:pPr>
        <w:snapToGrid w:val="0"/>
        <w:spacing w:line="300" w:lineRule="auto"/>
        <w:outlineLvl w:val="0"/>
        <w:rPr>
          <w:rFonts w:ascii="Times New Roman" w:hAnsi="Times New Roman"/>
          <w:color w:val="auto"/>
          <w:sz w:val="28"/>
          <w:szCs w:val="28"/>
          <w:highlight w:val="none"/>
        </w:rPr>
      </w:pPr>
    </w:p>
    <w:p w14:paraId="68E7A851">
      <w:pPr>
        <w:snapToGrid w:val="0"/>
        <w:spacing w:line="300" w:lineRule="auto"/>
        <w:outlineLvl w:val="0"/>
        <w:rPr>
          <w:rFonts w:ascii="Times New Roman" w:hAnsi="Times New Roman"/>
          <w:color w:val="auto"/>
          <w:sz w:val="28"/>
          <w:szCs w:val="28"/>
          <w:highlight w:val="none"/>
        </w:rPr>
      </w:pP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附件1</w:t>
      </w:r>
      <w:r>
        <w:rPr>
          <w:rFonts w:hint="eastAsia" w:ascii="Times New Roman" w:hAnsi="Times New Roman" w:eastAsia="方正黑体_GBK"/>
          <w:bCs/>
          <w:color w:val="auto"/>
          <w:sz w:val="32"/>
          <w:szCs w:val="32"/>
          <w:highlight w:val="none"/>
          <w:lang w:val="en-US" w:eastAsia="zh-CN"/>
        </w:rPr>
        <w:t>2</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7CD9B3CC">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footerReference r:id="rId5" w:type="default"/>
      <w:footerReference r:id="rId6" w:type="even"/>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1"/>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9494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59494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00C4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500C4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1"/>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74AA8"/>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53B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2584C"/>
    <w:rsid w:val="08B47C40"/>
    <w:rsid w:val="08ED6E6B"/>
    <w:rsid w:val="092B63E5"/>
    <w:rsid w:val="096864F2"/>
    <w:rsid w:val="09896468"/>
    <w:rsid w:val="09A908B8"/>
    <w:rsid w:val="09BB1D74"/>
    <w:rsid w:val="09EF6C13"/>
    <w:rsid w:val="09F91840"/>
    <w:rsid w:val="0A206DCD"/>
    <w:rsid w:val="0A3463D4"/>
    <w:rsid w:val="0A374116"/>
    <w:rsid w:val="0A411EAA"/>
    <w:rsid w:val="0A612C71"/>
    <w:rsid w:val="0A6F431A"/>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0149DC"/>
    <w:rsid w:val="0C632FA1"/>
    <w:rsid w:val="0C776A4C"/>
    <w:rsid w:val="0C7C4643"/>
    <w:rsid w:val="0C881AC2"/>
    <w:rsid w:val="0C920890"/>
    <w:rsid w:val="0CAF61E6"/>
    <w:rsid w:val="0CC32F3E"/>
    <w:rsid w:val="0D076022"/>
    <w:rsid w:val="0D4E7EB0"/>
    <w:rsid w:val="0D616EF9"/>
    <w:rsid w:val="0D805053"/>
    <w:rsid w:val="0D8853B5"/>
    <w:rsid w:val="0D9755F8"/>
    <w:rsid w:val="0DB241E0"/>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43664B"/>
    <w:rsid w:val="115C4155"/>
    <w:rsid w:val="11B12A00"/>
    <w:rsid w:val="11B5429E"/>
    <w:rsid w:val="11C15A98"/>
    <w:rsid w:val="11CC3396"/>
    <w:rsid w:val="11D13610"/>
    <w:rsid w:val="11DD55A3"/>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B17516"/>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A283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40549"/>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97DD1"/>
    <w:rsid w:val="211F4451"/>
    <w:rsid w:val="21260264"/>
    <w:rsid w:val="21411C9A"/>
    <w:rsid w:val="215D225D"/>
    <w:rsid w:val="218F1280"/>
    <w:rsid w:val="219E4D4F"/>
    <w:rsid w:val="21E169EA"/>
    <w:rsid w:val="21E95CE4"/>
    <w:rsid w:val="22087C03"/>
    <w:rsid w:val="22145011"/>
    <w:rsid w:val="223B251B"/>
    <w:rsid w:val="224B3EF8"/>
    <w:rsid w:val="2252728E"/>
    <w:rsid w:val="22901A6A"/>
    <w:rsid w:val="22995516"/>
    <w:rsid w:val="22A81D4C"/>
    <w:rsid w:val="22BB2971"/>
    <w:rsid w:val="22BE373D"/>
    <w:rsid w:val="22E569AE"/>
    <w:rsid w:val="232A43C0"/>
    <w:rsid w:val="23411BF1"/>
    <w:rsid w:val="237C2E6E"/>
    <w:rsid w:val="23A97579"/>
    <w:rsid w:val="23AE6EED"/>
    <w:rsid w:val="23CE155A"/>
    <w:rsid w:val="23FA3D93"/>
    <w:rsid w:val="24044C11"/>
    <w:rsid w:val="2423778D"/>
    <w:rsid w:val="242F7EE0"/>
    <w:rsid w:val="243454F7"/>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1D1F8A"/>
    <w:rsid w:val="293C106B"/>
    <w:rsid w:val="293D6BFB"/>
    <w:rsid w:val="294855A0"/>
    <w:rsid w:val="294A30C6"/>
    <w:rsid w:val="294D0D1A"/>
    <w:rsid w:val="298760C9"/>
    <w:rsid w:val="298C36DF"/>
    <w:rsid w:val="298F6E15"/>
    <w:rsid w:val="29950680"/>
    <w:rsid w:val="2A0A6A52"/>
    <w:rsid w:val="2A30260C"/>
    <w:rsid w:val="2A5F7045"/>
    <w:rsid w:val="2A920B48"/>
    <w:rsid w:val="2A9860B3"/>
    <w:rsid w:val="2AAF65D8"/>
    <w:rsid w:val="2ABE1FBE"/>
    <w:rsid w:val="2AC0201C"/>
    <w:rsid w:val="2AE457EF"/>
    <w:rsid w:val="2AE83035"/>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D9B65E7"/>
    <w:rsid w:val="2E0A6052"/>
    <w:rsid w:val="2E6C46A3"/>
    <w:rsid w:val="2E9574DA"/>
    <w:rsid w:val="2EA72180"/>
    <w:rsid w:val="2EA77C30"/>
    <w:rsid w:val="2EDE117F"/>
    <w:rsid w:val="2F1200EA"/>
    <w:rsid w:val="2F432A92"/>
    <w:rsid w:val="2F5C288F"/>
    <w:rsid w:val="2F666780"/>
    <w:rsid w:val="2F9020C9"/>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270449"/>
    <w:rsid w:val="323E53DB"/>
    <w:rsid w:val="32456E89"/>
    <w:rsid w:val="32561EF9"/>
    <w:rsid w:val="32584AA6"/>
    <w:rsid w:val="32870003"/>
    <w:rsid w:val="330501EB"/>
    <w:rsid w:val="330E3C5D"/>
    <w:rsid w:val="33242BDA"/>
    <w:rsid w:val="332A4F71"/>
    <w:rsid w:val="3330332D"/>
    <w:rsid w:val="333D193A"/>
    <w:rsid w:val="33996415"/>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8B66C9"/>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11A78"/>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3034E"/>
    <w:rsid w:val="3B252B5B"/>
    <w:rsid w:val="3B5E6FF3"/>
    <w:rsid w:val="3B6228E3"/>
    <w:rsid w:val="3B6F5D84"/>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51240"/>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AE0712"/>
    <w:rsid w:val="42C14F5E"/>
    <w:rsid w:val="42C45840"/>
    <w:rsid w:val="42DE0FF8"/>
    <w:rsid w:val="42EA174A"/>
    <w:rsid w:val="43470E11"/>
    <w:rsid w:val="434F416E"/>
    <w:rsid w:val="43602C8F"/>
    <w:rsid w:val="43754D8C"/>
    <w:rsid w:val="43AE09CA"/>
    <w:rsid w:val="440B0B14"/>
    <w:rsid w:val="44586B88"/>
    <w:rsid w:val="44786486"/>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8D052B"/>
    <w:rsid w:val="499A72FA"/>
    <w:rsid w:val="49DC5B65"/>
    <w:rsid w:val="49E07403"/>
    <w:rsid w:val="49ED227B"/>
    <w:rsid w:val="49ED64C9"/>
    <w:rsid w:val="4A2A2D74"/>
    <w:rsid w:val="4A513E5D"/>
    <w:rsid w:val="4A527BD5"/>
    <w:rsid w:val="4A7A3B3E"/>
    <w:rsid w:val="4A9B05A9"/>
    <w:rsid w:val="4AAE5753"/>
    <w:rsid w:val="4AE747C1"/>
    <w:rsid w:val="4AF36E2F"/>
    <w:rsid w:val="4AFB201B"/>
    <w:rsid w:val="4B06387A"/>
    <w:rsid w:val="4B48499E"/>
    <w:rsid w:val="4B876D4C"/>
    <w:rsid w:val="4B95246F"/>
    <w:rsid w:val="4BB01057"/>
    <w:rsid w:val="4BC2339A"/>
    <w:rsid w:val="4BC35D95"/>
    <w:rsid w:val="4BDB5372"/>
    <w:rsid w:val="4BEF7DD1"/>
    <w:rsid w:val="4BF61160"/>
    <w:rsid w:val="4C2B6930"/>
    <w:rsid w:val="4C3B3017"/>
    <w:rsid w:val="4C5C4D3B"/>
    <w:rsid w:val="4C7A32E7"/>
    <w:rsid w:val="4C9D782D"/>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9272D7"/>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C518B1"/>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777EA1"/>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1B4323"/>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0B309E"/>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75574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5B6BC8"/>
    <w:rsid w:val="71600E32"/>
    <w:rsid w:val="716D33C3"/>
    <w:rsid w:val="718F158B"/>
    <w:rsid w:val="71933005"/>
    <w:rsid w:val="71CC633B"/>
    <w:rsid w:val="71D34078"/>
    <w:rsid w:val="722C2936"/>
    <w:rsid w:val="72966949"/>
    <w:rsid w:val="72AB259F"/>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A85E1C"/>
    <w:rsid w:val="75DD4DFD"/>
    <w:rsid w:val="75F53987"/>
    <w:rsid w:val="760F6D5F"/>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870BC"/>
    <w:rsid w:val="77D93560"/>
    <w:rsid w:val="77DD4C63"/>
    <w:rsid w:val="77F951E6"/>
    <w:rsid w:val="782110F0"/>
    <w:rsid w:val="7839646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326F58"/>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3E5C13"/>
    <w:rsid w:val="7D4C208E"/>
    <w:rsid w:val="7D8775BA"/>
    <w:rsid w:val="7DD10836"/>
    <w:rsid w:val="7E0155BF"/>
    <w:rsid w:val="7E0D3F64"/>
    <w:rsid w:val="7E325778"/>
    <w:rsid w:val="7E3A63DB"/>
    <w:rsid w:val="7E9006F1"/>
    <w:rsid w:val="7ECC2A81"/>
    <w:rsid w:val="7EDA57F1"/>
    <w:rsid w:val="7EE97F06"/>
    <w:rsid w:val="7F0921B9"/>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0"/>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
    <w:qFormat/>
    <w:uiPriority w:val="0"/>
    <w:rPr>
      <w:rFonts w:hint="eastAsia" w:ascii="宋体" w:hAnsi="Courier New"/>
      <w:szCs w:val="20"/>
    </w:rPr>
  </w:style>
  <w:style w:type="paragraph" w:styleId="11">
    <w:name w:val="footer"/>
    <w:basedOn w:val="1"/>
    <w:link w:val="37"/>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2"/>
    <w:basedOn w:val="7"/>
    <w:next w:val="1"/>
    <w:qFormat/>
    <w:uiPriority w:val="0"/>
    <w:pPr>
      <w:spacing w:after="120"/>
      <w:ind w:firstLine="420" w:firstLineChars="200"/>
    </w:pPr>
    <w:rPr>
      <w:rFonts w:ascii="Times New Roman" w:hAnsi="Times New Roman"/>
      <w:szCs w:val="20"/>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9">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0">
    <w:name w:val="首行缩进"/>
    <w:basedOn w:val="1"/>
    <w:qFormat/>
    <w:uiPriority w:val="0"/>
    <w:pPr>
      <w:spacing w:line="360" w:lineRule="auto"/>
      <w:ind w:firstLine="480" w:firstLineChars="200"/>
    </w:pPr>
    <w:rPr>
      <w:rFonts w:ascii="Times New Roman" w:hAnsi="Times New Roman"/>
      <w:szCs w:val="20"/>
    </w:rPr>
  </w:style>
  <w:style w:type="character" w:customStyle="1" w:styleId="31">
    <w:name w:val="first-child"/>
    <w:basedOn w:val="17"/>
    <w:qFormat/>
    <w:uiPriority w:val="0"/>
  </w:style>
  <w:style w:type="character" w:customStyle="1" w:styleId="32">
    <w:name w:val="hover2"/>
    <w:basedOn w:val="17"/>
    <w:qFormat/>
    <w:uiPriority w:val="0"/>
    <w:rPr>
      <w:color w:val="5FB878"/>
    </w:rPr>
  </w:style>
  <w:style w:type="character" w:customStyle="1" w:styleId="33">
    <w:name w:val="hover3"/>
    <w:basedOn w:val="17"/>
    <w:qFormat/>
    <w:uiPriority w:val="0"/>
    <w:rPr>
      <w:color w:val="5FB878"/>
    </w:rPr>
  </w:style>
  <w:style w:type="character" w:customStyle="1" w:styleId="34">
    <w:name w:val="hover4"/>
    <w:basedOn w:val="17"/>
    <w:qFormat/>
    <w:uiPriority w:val="0"/>
    <w:rPr>
      <w:color w:val="FFFFFF"/>
    </w:rPr>
  </w:style>
  <w:style w:type="character" w:customStyle="1" w:styleId="35">
    <w:name w:val="layui-this"/>
    <w:basedOn w:val="17"/>
    <w:qFormat/>
    <w:uiPriority w:val="0"/>
    <w:rPr>
      <w:bdr w:val="single" w:color="EEEEEE" w:sz="6" w:space="0"/>
      <w:shd w:val="clear" w:color="auto" w:fill="FFFFFF"/>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7">
    <w:name w:val="页脚 Char"/>
    <w:basedOn w:val="17"/>
    <w:link w:val="11"/>
    <w:qFormat/>
    <w:uiPriority w:val="99"/>
    <w:rPr>
      <w:rFonts w:ascii="Calibri" w:hAnsi="Calibri"/>
      <w:kern w:val="2"/>
      <w:sz w:val="18"/>
      <w:szCs w:val="24"/>
    </w:rPr>
  </w:style>
  <w:style w:type="paragraph" w:styleId="38">
    <w:name w:val="List Paragraph"/>
    <w:basedOn w:val="1"/>
    <w:qFormat/>
    <w:uiPriority w:val="99"/>
    <w:pPr>
      <w:ind w:firstLine="420" w:firstLineChars="200"/>
    </w:pPr>
  </w:style>
  <w:style w:type="character" w:customStyle="1" w:styleId="39">
    <w:name w:val="标题 1 Char"/>
    <w:link w:val="2"/>
    <w:qFormat/>
    <w:uiPriority w:val="0"/>
    <w:rPr>
      <w:b/>
      <w:kern w:val="44"/>
      <w:sz w:val="44"/>
    </w:rPr>
  </w:style>
  <w:style w:type="character" w:customStyle="1" w:styleId="40">
    <w:name w:val="文档结构图 Char"/>
    <w:basedOn w:val="17"/>
    <w:link w:val="5"/>
    <w:semiHidden/>
    <w:qFormat/>
    <w:uiPriority w:val="0"/>
    <w:rPr>
      <w:rFonts w:ascii="Microsoft YaHei UI" w:hAnsi="Calibri" w:eastAsia="Microsoft YaHei UI"/>
      <w:kern w:val="2"/>
      <w:sz w:val="18"/>
      <w:szCs w:val="18"/>
    </w:rPr>
  </w:style>
  <w:style w:type="paragraph" w:customStyle="1" w:styleId="41">
    <w:name w:val="列出段落1"/>
    <w:basedOn w:val="1"/>
    <w:autoRedefine/>
    <w:qFormat/>
    <w:uiPriority w:val="0"/>
    <w:pPr>
      <w:ind w:firstLine="420" w:firstLineChars="200"/>
    </w:pPr>
    <w:rPr>
      <w:rFonts w:ascii="Calibri" w:hAnsi="Calibri"/>
      <w:szCs w:val="22"/>
    </w:rPr>
  </w:style>
  <w:style w:type="character" w:customStyle="1" w:styleId="42">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17350</Words>
  <Characters>17865</Characters>
  <Lines>140</Lines>
  <Paragraphs>39</Paragraphs>
  <TotalTime>0</TotalTime>
  <ScaleCrop>false</ScaleCrop>
  <LinksUpToDate>false</LinksUpToDate>
  <CharactersWithSpaces>18401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qzuser</cp:lastModifiedBy>
  <cp:lastPrinted>2024-10-10T06:11:00Z</cp:lastPrinted>
  <dcterms:modified xsi:type="dcterms:W3CDTF">2026-04-23T06:53:33Z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08E6A003D2704DB18BD449395AC2D3A8_13</vt:lpwstr>
  </property>
  <property fmtid="{D5CDD505-2E9C-101B-9397-08002B2CF9AE}" pid="4" name="KSOTemplateDocerSaveRecord">
    <vt:lpwstr>eyJoZGlkIjoiZjI5NmJjYTRiYjVkYjczNGQ0ZWFlMjM1ZDdiNDg0ZjAiLCJ1c2VySWQiOiIzMTA2NTMwNjIifQ==</vt:lpwstr>
  </property>
</Properties>
</file>