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0D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启东市合作镇达育村太阳能路灯更换及新增项目</w:t>
      </w:r>
    </w:p>
    <w:p w14:paraId="1E21E7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color w:val="auto"/>
          <w:sz w:val="32"/>
          <w:szCs w:val="32"/>
        </w:rPr>
      </w:pPr>
      <w:r>
        <w:rPr>
          <w:rFonts w:hint="eastAsia" w:ascii="宋体" w:hAnsi="宋体" w:cs="宋体"/>
          <w:b/>
          <w:color w:val="auto"/>
          <w:sz w:val="32"/>
          <w:szCs w:val="32"/>
        </w:rPr>
        <w:t>市场询价公告</w:t>
      </w:r>
    </w:p>
    <w:p w14:paraId="2D1FB2D3">
      <w:pPr>
        <w:spacing w:line="360" w:lineRule="auto"/>
        <w:ind w:right="-313" w:rightChars="-149" w:firstLine="480" w:firstLineChars="200"/>
        <w:jc w:val="left"/>
        <w:rPr>
          <w:rStyle w:val="22"/>
          <w:rFonts w:hint="eastAsia" w:cs="仿宋" w:asciiTheme="minorEastAsia" w:hAnsiTheme="minorEastAsia" w:eastAsiaTheme="minorEastAsia"/>
          <w:color w:val="auto"/>
          <w:kern w:val="0"/>
          <w:sz w:val="24"/>
          <w:szCs w:val="24"/>
        </w:rPr>
      </w:pPr>
      <w:r>
        <w:rPr>
          <w:rStyle w:val="22"/>
          <w:rFonts w:hint="eastAsia" w:cs="仿宋" w:asciiTheme="minorEastAsia" w:hAnsiTheme="minorEastAsia" w:eastAsiaTheme="minorEastAsia"/>
          <w:color w:val="auto"/>
          <w:kern w:val="0"/>
          <w:sz w:val="24"/>
          <w:szCs w:val="24"/>
          <w:lang w:val="en-US" w:eastAsia="zh-CN"/>
        </w:rPr>
        <w:t>启东市合作镇达育村太阳能路灯更换及新增项目</w:t>
      </w:r>
      <w:r>
        <w:rPr>
          <w:rStyle w:val="22"/>
          <w:rFonts w:hint="eastAsia" w:cs="仿宋" w:asciiTheme="minorEastAsia" w:hAnsiTheme="minorEastAsia" w:eastAsiaTheme="minorEastAsia"/>
          <w:color w:val="auto"/>
          <w:kern w:val="0"/>
          <w:sz w:val="24"/>
          <w:szCs w:val="24"/>
        </w:rPr>
        <w:t>即将实施，现就本项目进行市场询价调研。</w:t>
      </w:r>
    </w:p>
    <w:p w14:paraId="79E3CFF0">
      <w:pPr>
        <w:keepNext w:val="0"/>
        <w:keepLines w:val="0"/>
        <w:pageBreakBefore w:val="0"/>
        <w:widowControl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Times New Roman"/>
          <w:b/>
          <w:bCs/>
          <w:color w:val="auto"/>
          <w:kern w:val="2"/>
          <w:sz w:val="24"/>
          <w:szCs w:val="24"/>
          <w:lang w:val="en-US" w:eastAsia="zh-CN" w:bidi="ar-SA"/>
        </w:rPr>
      </w:pPr>
      <w:r>
        <w:rPr>
          <w:rFonts w:hint="eastAsia" w:ascii="宋体" w:hAnsi="宋体" w:cs="黑体"/>
          <w:b/>
          <w:bCs/>
          <w:color w:val="auto"/>
          <w:sz w:val="24"/>
          <w:szCs w:val="24"/>
        </w:rPr>
        <w:t>一、</w:t>
      </w:r>
      <w:r>
        <w:rPr>
          <w:rFonts w:hint="eastAsia" w:ascii="宋体" w:hAnsi="宋体" w:eastAsia="宋体" w:cs="Times New Roman"/>
          <w:b/>
          <w:bCs/>
          <w:color w:val="auto"/>
          <w:kern w:val="2"/>
          <w:sz w:val="24"/>
          <w:szCs w:val="24"/>
          <w:lang w:val="en-US" w:eastAsia="zh-CN" w:bidi="ar-SA"/>
        </w:rPr>
        <w:t>采购需求一览表</w:t>
      </w:r>
    </w:p>
    <w:tbl>
      <w:tblPr>
        <w:tblStyle w:val="9"/>
        <w:tblpPr w:leftFromText="180" w:rightFromText="180" w:vertAnchor="text" w:horzAnchor="page" w:tblpXSpec="center" w:tblpY="139"/>
        <w:tblOverlap w:val="never"/>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275"/>
        <w:gridCol w:w="4383"/>
        <w:gridCol w:w="641"/>
        <w:gridCol w:w="690"/>
        <w:gridCol w:w="1150"/>
      </w:tblGrid>
      <w:tr w14:paraId="321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4" w:type="dxa"/>
            <w:shd w:val="clear" w:color="auto" w:fill="FFFFFF"/>
            <w:noWrap w:val="0"/>
            <w:vAlign w:val="center"/>
          </w:tcPr>
          <w:p w14:paraId="3F6E9C2D">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75" w:type="dxa"/>
            <w:shd w:val="clear" w:color="auto" w:fill="FFFFFF"/>
            <w:noWrap w:val="0"/>
            <w:vAlign w:val="center"/>
          </w:tcPr>
          <w:p w14:paraId="64609381">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货物</w:t>
            </w:r>
            <w:r>
              <w:rPr>
                <w:rFonts w:hint="eastAsia" w:ascii="宋体" w:hAnsi="宋体" w:eastAsia="宋体" w:cs="宋体"/>
                <w:b/>
                <w:bCs/>
                <w:i w:val="0"/>
                <w:iCs w:val="0"/>
                <w:color w:val="000000"/>
                <w:kern w:val="0"/>
                <w:sz w:val="21"/>
                <w:szCs w:val="21"/>
                <w:highlight w:val="none"/>
                <w:u w:val="none"/>
                <w:lang w:val="en-US" w:eastAsia="zh-CN" w:bidi="ar"/>
              </w:rPr>
              <w:t>名称</w:t>
            </w:r>
          </w:p>
        </w:tc>
        <w:tc>
          <w:tcPr>
            <w:tcW w:w="4383" w:type="dxa"/>
            <w:shd w:val="clear" w:color="auto" w:fill="FFFFFF"/>
            <w:noWrap w:val="0"/>
            <w:vAlign w:val="center"/>
          </w:tcPr>
          <w:p w14:paraId="77CE2A9D">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kern w:val="0"/>
                <w:sz w:val="21"/>
                <w:szCs w:val="21"/>
                <w:u w:val="none"/>
                <w:lang w:val="en-US" w:eastAsia="zh-CN" w:bidi="ar"/>
              </w:rPr>
              <w:t>技术参数</w:t>
            </w:r>
          </w:p>
        </w:tc>
        <w:tc>
          <w:tcPr>
            <w:tcW w:w="641" w:type="dxa"/>
            <w:shd w:val="clear" w:color="auto" w:fill="FFFFFF"/>
            <w:noWrap w:val="0"/>
            <w:vAlign w:val="center"/>
          </w:tcPr>
          <w:p w14:paraId="23712104">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单位</w:t>
            </w:r>
          </w:p>
        </w:tc>
        <w:tc>
          <w:tcPr>
            <w:tcW w:w="690" w:type="dxa"/>
            <w:shd w:val="clear" w:color="auto" w:fill="FFFFFF"/>
            <w:noWrap w:val="0"/>
            <w:vAlign w:val="center"/>
          </w:tcPr>
          <w:p w14:paraId="31309BF7">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150" w:type="dxa"/>
            <w:shd w:val="clear" w:color="auto" w:fill="FFFFFF"/>
            <w:noWrap w:val="0"/>
            <w:vAlign w:val="center"/>
          </w:tcPr>
          <w:p w14:paraId="1842CC3A">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参考图片</w:t>
            </w:r>
          </w:p>
        </w:tc>
      </w:tr>
      <w:tr w14:paraId="093E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shd w:val="clear" w:color="auto" w:fill="auto"/>
            <w:noWrap w:val="0"/>
            <w:vAlign w:val="center"/>
          </w:tcPr>
          <w:p w14:paraId="0B7787AE">
            <w:pPr>
              <w:keepNext w:val="0"/>
              <w:keepLines w:val="0"/>
              <w:pageBreakBefore w:val="0"/>
              <w:kinsoku/>
              <w:overflowPunct/>
              <w:topLinePunct w:val="0"/>
              <w:autoSpaceDE/>
              <w:autoSpaceDN/>
              <w:bidi w:val="0"/>
              <w:jc w:val="center"/>
              <w:rPr>
                <w:rFonts w:hint="eastAsia" w:ascii="宋体" w:hAnsi="宋体" w:eastAsia="宋体" w:cs="仿宋"/>
                <w:kern w:val="2"/>
                <w:sz w:val="21"/>
                <w:szCs w:val="21"/>
                <w:lang w:val="en-US" w:eastAsia="zh-CN" w:bidi="ar-SA"/>
              </w:rPr>
            </w:pPr>
            <w:r>
              <w:rPr>
                <w:rFonts w:hint="eastAsia" w:ascii="宋体" w:hAnsi="宋体" w:cs="仿宋"/>
                <w:sz w:val="21"/>
                <w:szCs w:val="21"/>
              </w:rPr>
              <w:t>1</w:t>
            </w:r>
          </w:p>
        </w:tc>
        <w:tc>
          <w:tcPr>
            <w:tcW w:w="1275" w:type="dxa"/>
            <w:shd w:val="clear" w:color="auto" w:fill="auto"/>
            <w:noWrap w:val="0"/>
            <w:vAlign w:val="center"/>
          </w:tcPr>
          <w:p w14:paraId="325A1429">
            <w:pPr>
              <w:keepNext w:val="0"/>
              <w:keepLines w:val="0"/>
              <w:pageBreakBefore w:val="0"/>
              <w:widowControl/>
              <w:kinsoku/>
              <w:overflowPunct/>
              <w:topLinePunct w:val="0"/>
              <w:autoSpaceDE/>
              <w:autoSpaceDN/>
              <w:bidi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拆除</w:t>
            </w:r>
          </w:p>
        </w:tc>
        <w:tc>
          <w:tcPr>
            <w:tcW w:w="4383" w:type="dxa"/>
            <w:shd w:val="clear" w:color="auto" w:fill="auto"/>
            <w:noWrap w:val="0"/>
            <w:vAlign w:val="center"/>
          </w:tcPr>
          <w:p w14:paraId="44DACE47">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napToGrid w:val="0"/>
                <w:color w:val="000000"/>
                <w:kern w:val="0"/>
                <w:sz w:val="21"/>
                <w:szCs w:val="21"/>
                <w:highlight w:val="none"/>
                <w:lang w:bidi="ar"/>
              </w:rPr>
            </w:pPr>
            <w:r>
              <w:rPr>
                <w:rFonts w:hint="eastAsia" w:ascii="宋体" w:hAnsi="宋体" w:eastAsia="宋体" w:cs="宋体"/>
                <w:snapToGrid w:val="0"/>
                <w:color w:val="000000"/>
                <w:kern w:val="0"/>
                <w:sz w:val="21"/>
                <w:szCs w:val="21"/>
                <w:highlight w:val="none"/>
                <w:lang w:bidi="ar"/>
              </w:rPr>
              <w:t>1、原有路灯及配线等附件全部拆除（具体以采购人要求为准）。</w:t>
            </w:r>
          </w:p>
          <w:p w14:paraId="3106F3F5">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napToGrid w:val="0"/>
                <w:color w:val="000000"/>
                <w:kern w:val="0"/>
                <w:sz w:val="21"/>
                <w:szCs w:val="21"/>
                <w:highlight w:val="none"/>
                <w:lang w:bidi="ar"/>
              </w:rPr>
            </w:pPr>
            <w:r>
              <w:rPr>
                <w:rFonts w:hint="eastAsia" w:ascii="宋体" w:hAnsi="宋体" w:eastAsia="宋体" w:cs="宋体"/>
                <w:snapToGrid w:val="0"/>
                <w:color w:val="000000"/>
                <w:kern w:val="0"/>
                <w:sz w:val="21"/>
                <w:szCs w:val="21"/>
                <w:highlight w:val="none"/>
                <w:lang w:bidi="ar"/>
              </w:rPr>
              <w:t>2、拆除后按采购人要求在指定位置堆放整齐。</w:t>
            </w:r>
          </w:p>
          <w:p w14:paraId="6748E29F">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napToGrid w:val="0"/>
                <w:color w:val="000000"/>
                <w:kern w:val="0"/>
                <w:sz w:val="21"/>
                <w:szCs w:val="21"/>
                <w:highlight w:val="none"/>
                <w:lang w:bidi="ar"/>
              </w:rPr>
              <w:t>3、拆</w:t>
            </w:r>
            <w:r>
              <w:rPr>
                <w:rFonts w:hint="eastAsia" w:ascii="宋体" w:hAnsi="宋体" w:eastAsia="宋体" w:cs="宋体"/>
                <w:snapToGrid w:val="0"/>
                <w:color w:val="000000"/>
                <w:kern w:val="0"/>
                <w:sz w:val="21"/>
                <w:szCs w:val="21"/>
                <w:highlight w:val="none"/>
                <w:lang w:val="en-US" w:eastAsia="zh-CN" w:bidi="ar"/>
              </w:rPr>
              <w:t>除</w:t>
            </w:r>
            <w:r>
              <w:rPr>
                <w:rFonts w:hint="eastAsia" w:ascii="宋体" w:hAnsi="宋体" w:eastAsia="宋体" w:cs="宋体"/>
                <w:snapToGrid w:val="0"/>
                <w:color w:val="000000"/>
                <w:kern w:val="0"/>
                <w:sz w:val="21"/>
                <w:szCs w:val="21"/>
                <w:highlight w:val="none"/>
                <w:lang w:bidi="ar"/>
              </w:rPr>
              <w:t>的灯及配线等附件全部归采购人所有。</w:t>
            </w:r>
          </w:p>
        </w:tc>
        <w:tc>
          <w:tcPr>
            <w:tcW w:w="641" w:type="dxa"/>
            <w:shd w:val="clear" w:color="auto" w:fill="auto"/>
            <w:noWrap w:val="0"/>
            <w:vAlign w:val="center"/>
          </w:tcPr>
          <w:p w14:paraId="18EF6115">
            <w:pPr>
              <w:keepNext w:val="0"/>
              <w:keepLines w:val="0"/>
              <w:pageBreakBefore w:val="0"/>
              <w:kinsoku/>
              <w:overflowPunct/>
              <w:topLinePunct w:val="0"/>
              <w:autoSpaceDE/>
              <w:autoSpaceDN/>
              <w:bidi w:val="0"/>
              <w:jc w:val="center"/>
              <w:rPr>
                <w:rFonts w:hint="eastAsia" w:ascii="宋体" w:hAnsi="宋体" w:eastAsia="宋体" w:cs="仿宋"/>
                <w:kern w:val="2"/>
                <w:sz w:val="21"/>
                <w:szCs w:val="21"/>
                <w:lang w:val="en-US" w:eastAsia="zh-CN" w:bidi="ar-SA"/>
              </w:rPr>
            </w:pPr>
            <w:r>
              <w:rPr>
                <w:rFonts w:hint="eastAsia" w:ascii="宋体" w:hAnsi="宋体" w:cs="仿宋"/>
                <w:sz w:val="21"/>
                <w:szCs w:val="21"/>
              </w:rPr>
              <w:t>项</w:t>
            </w:r>
          </w:p>
        </w:tc>
        <w:tc>
          <w:tcPr>
            <w:tcW w:w="690" w:type="dxa"/>
            <w:shd w:val="clear" w:color="auto" w:fill="auto"/>
            <w:noWrap w:val="0"/>
            <w:vAlign w:val="center"/>
          </w:tcPr>
          <w:p w14:paraId="72313657">
            <w:pPr>
              <w:keepNext w:val="0"/>
              <w:keepLines w:val="0"/>
              <w:pageBreakBefore w:val="0"/>
              <w:kinsoku/>
              <w:overflowPunct/>
              <w:topLinePunct w:val="0"/>
              <w:autoSpaceDE/>
              <w:autoSpaceDN/>
              <w:bidi w:val="0"/>
              <w:jc w:val="center"/>
              <w:rPr>
                <w:rFonts w:hint="eastAsia" w:ascii="宋体" w:hAnsi="宋体" w:eastAsia="宋体" w:cs="仿宋"/>
                <w:kern w:val="2"/>
                <w:sz w:val="21"/>
                <w:szCs w:val="21"/>
                <w:lang w:val="en-US" w:eastAsia="zh-CN" w:bidi="ar-SA"/>
              </w:rPr>
            </w:pPr>
            <w:r>
              <w:rPr>
                <w:rFonts w:hint="eastAsia" w:ascii="宋体" w:hAnsi="宋体" w:cs="仿宋"/>
                <w:sz w:val="21"/>
                <w:szCs w:val="21"/>
              </w:rPr>
              <w:t>1</w:t>
            </w:r>
          </w:p>
        </w:tc>
        <w:tc>
          <w:tcPr>
            <w:tcW w:w="1150" w:type="dxa"/>
            <w:shd w:val="clear" w:color="auto" w:fill="FFFFFF"/>
            <w:noWrap w:val="0"/>
            <w:vAlign w:val="center"/>
          </w:tcPr>
          <w:p w14:paraId="6C1BCAF6">
            <w:pPr>
              <w:keepNext w:val="0"/>
              <w:keepLines w:val="0"/>
              <w:pageBreakBefore w:val="0"/>
              <w:kinsoku/>
              <w:overflowPunct/>
              <w:topLinePunct w:val="0"/>
              <w:autoSpaceDE/>
              <w:autoSpaceDN/>
              <w:bidi w:val="0"/>
              <w:jc w:val="center"/>
            </w:pPr>
          </w:p>
        </w:tc>
      </w:tr>
      <w:tr w14:paraId="5495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shd w:val="clear" w:color="auto" w:fill="FFFFFF"/>
            <w:noWrap w:val="0"/>
            <w:vAlign w:val="center"/>
          </w:tcPr>
          <w:p w14:paraId="7A70C5FE">
            <w:pPr>
              <w:keepNext w:val="0"/>
              <w:keepLines w:val="0"/>
              <w:pageBreakBefore w:val="0"/>
              <w:widowControl/>
              <w:kinsoku/>
              <w:overflowPunct/>
              <w:topLinePunct w:val="0"/>
              <w:autoSpaceDE/>
              <w:autoSpaceDN/>
              <w:bidi w:val="0"/>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p>
        </w:tc>
        <w:tc>
          <w:tcPr>
            <w:tcW w:w="1275" w:type="dxa"/>
            <w:shd w:val="clear" w:color="auto" w:fill="FFFFFF"/>
            <w:noWrap w:val="0"/>
            <w:vAlign w:val="center"/>
          </w:tcPr>
          <w:p w14:paraId="3432AD49">
            <w:pPr>
              <w:keepNext w:val="0"/>
              <w:keepLines w:val="0"/>
              <w:pageBreakBefore w:val="0"/>
              <w:widowControl/>
              <w:kinsoku/>
              <w:overflowPunct/>
              <w:topLinePunct w:val="0"/>
              <w:autoSpaceDE/>
              <w:autoSpaceDN/>
              <w:bidi w:val="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太阳能路灯（新立杆）</w:t>
            </w:r>
          </w:p>
          <w:p w14:paraId="07BC346A">
            <w:pPr>
              <w:keepNext w:val="0"/>
              <w:keepLines w:val="0"/>
              <w:pageBreakBefore w:val="0"/>
              <w:widowControl/>
              <w:kinsoku/>
              <w:overflowPunct/>
              <w:topLinePunct w:val="0"/>
              <w:autoSpaceDE/>
              <w:autoSpaceDN/>
              <w:bidi w:val="0"/>
              <w:jc w:val="center"/>
              <w:rPr>
                <w:rFonts w:hint="eastAsia" w:ascii="宋体" w:hAnsi="宋体" w:eastAsia="宋体" w:cs="宋体"/>
                <w:color w:val="000000"/>
                <w:kern w:val="0"/>
                <w:sz w:val="21"/>
                <w:szCs w:val="21"/>
                <w:highlight w:val="none"/>
                <w:lang w:val="en-US" w:eastAsia="zh-CN" w:bidi="ar"/>
              </w:rPr>
            </w:pPr>
          </w:p>
        </w:tc>
        <w:tc>
          <w:tcPr>
            <w:tcW w:w="4383" w:type="dxa"/>
            <w:shd w:val="clear" w:color="auto" w:fill="FFFFFF"/>
            <w:noWrap w:val="0"/>
            <w:vAlign w:val="center"/>
          </w:tcPr>
          <w:p w14:paraId="3602D08F">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1、灯杆材质、规格：灯杆总高6米，灯杆热镀锌防腐处理后喷优质户外漆，灯杆材料Q235，主杆上口径60mm，下口径140mm，壁厚2.5mm，出臂1米。</w:t>
            </w:r>
          </w:p>
          <w:p w14:paraId="0B98229B">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2、★灯具：光源功率60W(±1W)，显色指数≥70，色温5900k-6600K，灯具尺寸520*205*95mm（±5%）(或出光口尺寸不少于220mm*160mm)。</w:t>
            </w:r>
          </w:p>
          <w:p w14:paraId="0BE39D1D">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3、外壳采用全铝压铸、全密封构、外表光滑，灯具结构设计合理、强度高。平均寿命＞50000小时，光衰＜3%，性能稳定；</w:t>
            </w:r>
          </w:p>
          <w:p w14:paraId="36EE159E">
            <w:pPr>
              <w:keepNext w:val="0"/>
              <w:keepLines w:val="0"/>
              <w:pageBreakBefore w:val="0"/>
              <w:kinsoku/>
              <w:overflowPunct/>
              <w:topLinePunct w:val="0"/>
              <w:autoSpaceDE/>
              <w:autoSpaceDN/>
              <w:bidi w:val="0"/>
              <w:jc w:val="both"/>
              <w:rPr>
                <w:rFonts w:hint="eastAsia" w:ascii="宋体" w:hAnsi="宋体" w:eastAsia="宋体" w:cs="宋体"/>
                <w:sz w:val="21"/>
                <w:szCs w:val="21"/>
                <w:lang w:eastAsia="zh-CN"/>
              </w:rPr>
            </w:pPr>
            <w:r>
              <w:rPr>
                <w:rFonts w:hint="eastAsia" w:ascii="宋体" w:hAnsi="宋体" w:eastAsia="宋体" w:cs="宋体"/>
                <w:sz w:val="21"/>
                <w:szCs w:val="21"/>
              </w:rPr>
              <w:t>4、太阳能光伏板：★功率≥50W</w:t>
            </w:r>
            <w:r>
              <w:rPr>
                <w:rFonts w:hint="eastAsia" w:ascii="宋体" w:hAnsi="宋体" w:cs="宋体"/>
                <w:sz w:val="21"/>
                <w:szCs w:val="21"/>
                <w:lang w:eastAsia="zh-CN"/>
              </w:rPr>
              <w:t>。</w:t>
            </w:r>
          </w:p>
          <w:p w14:paraId="62CD2B5F">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多晶硅，转换率＞18%，4时段控制功能，可变功率，有过充过放及防反接功能，平均寿命≥10年；</w:t>
            </w:r>
          </w:p>
          <w:p w14:paraId="17D48ADB">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5、太阳能专用锂电池：★额定容量≥50AH。</w:t>
            </w:r>
          </w:p>
          <w:p w14:paraId="4A96AF0D">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灯头内置，寿命≥10年，亮灯时间12小时；</w:t>
            </w:r>
          </w:p>
          <w:p w14:paraId="623378B7">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6.基础开挖：≥500*500*850mm，C30混凝土（含基础预埋件）（最终以灯具厂家尺寸为准），固定螺栓采用混凝土包封防腐处理。</w:t>
            </w:r>
          </w:p>
        </w:tc>
        <w:tc>
          <w:tcPr>
            <w:tcW w:w="641" w:type="dxa"/>
            <w:shd w:val="clear" w:color="auto" w:fill="FFFFFF"/>
            <w:noWrap w:val="0"/>
            <w:vAlign w:val="center"/>
          </w:tcPr>
          <w:p w14:paraId="7D920105">
            <w:pPr>
              <w:keepNext w:val="0"/>
              <w:keepLines w:val="0"/>
              <w:pageBreakBefore w:val="0"/>
              <w:kinsoku/>
              <w:overflowPunct/>
              <w:topLinePunct w:val="0"/>
              <w:autoSpaceDE/>
              <w:autoSpaceDN/>
              <w:bidi w:val="0"/>
              <w:jc w:val="center"/>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套</w:t>
            </w:r>
          </w:p>
        </w:tc>
        <w:tc>
          <w:tcPr>
            <w:tcW w:w="690" w:type="dxa"/>
            <w:shd w:val="clear" w:color="auto" w:fill="FFFFFF"/>
            <w:noWrap w:val="0"/>
            <w:vAlign w:val="center"/>
          </w:tcPr>
          <w:p w14:paraId="0C0189AD">
            <w:pPr>
              <w:keepNext w:val="0"/>
              <w:keepLines w:val="0"/>
              <w:pageBreakBefore w:val="0"/>
              <w:kinsoku/>
              <w:overflowPunct/>
              <w:topLinePunct w:val="0"/>
              <w:autoSpaceDE/>
              <w:autoSpaceDN/>
              <w:bidi w:val="0"/>
              <w:jc w:val="center"/>
              <w:rPr>
                <w:rFonts w:hint="default" w:ascii="宋体" w:hAnsi="宋体" w:cs="仿宋"/>
                <w:sz w:val="21"/>
                <w:szCs w:val="21"/>
                <w:lang w:val="en-US" w:eastAsia="zh-CN"/>
              </w:rPr>
            </w:pPr>
            <w:r>
              <w:rPr>
                <w:rFonts w:hint="eastAsia" w:ascii="宋体" w:hAnsi="宋体" w:cs="仿宋"/>
                <w:sz w:val="21"/>
                <w:szCs w:val="21"/>
                <w:lang w:val="en-US" w:eastAsia="zh-CN"/>
              </w:rPr>
              <w:t>10</w:t>
            </w:r>
          </w:p>
        </w:tc>
        <w:tc>
          <w:tcPr>
            <w:tcW w:w="1150" w:type="dxa"/>
            <w:shd w:val="clear" w:color="auto" w:fill="FFFFFF"/>
            <w:noWrap w:val="0"/>
            <w:vAlign w:val="center"/>
          </w:tcPr>
          <w:p w14:paraId="614C4752">
            <w:pPr>
              <w:keepNext w:val="0"/>
              <w:keepLines w:val="0"/>
              <w:pageBreakBefore w:val="0"/>
              <w:kinsoku/>
              <w:overflowPunct/>
              <w:topLinePunct w:val="0"/>
              <w:autoSpaceDE/>
              <w:autoSpaceDN/>
              <w:bidi w:val="0"/>
              <w:jc w:val="center"/>
              <w:rPr>
                <w:rFonts w:hint="eastAsia" w:eastAsia="宋体"/>
                <w:lang w:eastAsia="zh-CN"/>
              </w:rPr>
            </w:pPr>
            <w:r>
              <w:rPr>
                <w:rFonts w:hint="eastAsia" w:eastAsia="宋体"/>
                <w:lang w:eastAsia="zh-CN"/>
              </w:rPr>
              <w:drawing>
                <wp:inline distT="0" distB="0" distL="114300" distR="114300">
                  <wp:extent cx="592455" cy="1850390"/>
                  <wp:effectExtent l="0" t="0" r="17145" b="16510"/>
                  <wp:docPr id="1" name="图片 1" descr="118750bce8afd2220a7cef93c8b040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8750bce8afd2220a7cef93c8b040a7"/>
                          <pic:cNvPicPr>
                            <a:picLocks noChangeAspect="1"/>
                          </pic:cNvPicPr>
                        </pic:nvPicPr>
                        <pic:blipFill>
                          <a:blip r:embed="rId5"/>
                          <a:stretch>
                            <a:fillRect/>
                          </a:stretch>
                        </pic:blipFill>
                        <pic:spPr>
                          <a:xfrm>
                            <a:off x="0" y="0"/>
                            <a:ext cx="592455" cy="1850390"/>
                          </a:xfrm>
                          <a:prstGeom prst="rect">
                            <a:avLst/>
                          </a:prstGeom>
                        </pic:spPr>
                      </pic:pic>
                    </a:graphicData>
                  </a:graphic>
                </wp:inline>
              </w:drawing>
            </w:r>
          </w:p>
        </w:tc>
      </w:tr>
      <w:tr w14:paraId="71C9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shd w:val="clear" w:color="auto" w:fill="FFFFFF"/>
            <w:noWrap w:val="0"/>
            <w:vAlign w:val="center"/>
          </w:tcPr>
          <w:p w14:paraId="43BF69DB">
            <w:pPr>
              <w:keepNext w:val="0"/>
              <w:keepLines w:val="0"/>
              <w:pageBreakBefore w:val="0"/>
              <w:widowControl/>
              <w:kinsoku/>
              <w:overflowPunct/>
              <w:topLinePunct w:val="0"/>
              <w:autoSpaceDE/>
              <w:autoSpaceDN/>
              <w:bidi w:val="0"/>
              <w:jc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3</w:t>
            </w:r>
          </w:p>
        </w:tc>
        <w:tc>
          <w:tcPr>
            <w:tcW w:w="1275" w:type="dxa"/>
            <w:shd w:val="clear" w:color="auto" w:fill="FFFFFF"/>
            <w:noWrap w:val="0"/>
            <w:vAlign w:val="center"/>
          </w:tcPr>
          <w:p w14:paraId="366C919F">
            <w:pPr>
              <w:keepNext w:val="0"/>
              <w:keepLines w:val="0"/>
              <w:pageBreakBefore w:val="0"/>
              <w:widowControl/>
              <w:kinsoku/>
              <w:overflowPunct/>
              <w:topLinePunct w:val="0"/>
              <w:autoSpaceDE/>
              <w:autoSpaceDN/>
              <w:bidi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太阳能路灯</w:t>
            </w:r>
          </w:p>
          <w:p w14:paraId="2D5C87A1">
            <w:pPr>
              <w:keepNext w:val="0"/>
              <w:keepLines w:val="0"/>
              <w:pageBreakBefore w:val="0"/>
              <w:widowControl/>
              <w:kinsoku/>
              <w:overflowPunct/>
              <w:topLinePunct w:val="0"/>
              <w:autoSpaceDE/>
              <w:autoSpaceDN/>
              <w:bidi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（借杆）</w:t>
            </w:r>
          </w:p>
        </w:tc>
        <w:tc>
          <w:tcPr>
            <w:tcW w:w="4383" w:type="dxa"/>
            <w:shd w:val="clear" w:color="auto" w:fill="FFFFFF"/>
            <w:noWrap w:val="0"/>
            <w:vAlign w:val="center"/>
          </w:tcPr>
          <w:p w14:paraId="542EBABD">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1、支架：采用Q235优质钢材,口径为60圆管，壁厚≥2.3mm，壁长1m，底部焊接固定底座；整体热镀锌，静电喷塑防腐处理，含太阳能支架、抱箍、配件等。</w:t>
            </w:r>
          </w:p>
          <w:p w14:paraId="7785B221">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2、★灯具：光源功率60W(±1W)，显色指数≥70，色温5900k-6600K，灯具尺寸520*205*95mm（±5</w:t>
            </w:r>
            <w:r>
              <w:rPr>
                <w:rFonts w:hint="eastAsia" w:ascii="宋体" w:hAnsi="宋体" w:eastAsia="宋体" w:cs="宋体"/>
                <w:sz w:val="21"/>
                <w:szCs w:val="21"/>
                <w:lang w:val="en-US" w:eastAsia="zh-CN"/>
              </w:rPr>
              <w:t>%</w:t>
            </w:r>
            <w:r>
              <w:rPr>
                <w:rFonts w:hint="eastAsia" w:ascii="宋体" w:hAnsi="宋体" w:eastAsia="宋体" w:cs="宋体"/>
                <w:sz w:val="21"/>
                <w:szCs w:val="21"/>
              </w:rPr>
              <w:t>）(或出光口尺寸不少于220mm*160mm)。</w:t>
            </w:r>
          </w:p>
          <w:p w14:paraId="036B183A">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3、外壳采用全铝压铸、全密封构、外表光滑，灯具结构设计合理、强度高。平均寿命＞50000小时，光衰＜3%，性能稳定；</w:t>
            </w:r>
          </w:p>
          <w:p w14:paraId="11458289">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4、太阳能光伏板：★功率≥50W。</w:t>
            </w:r>
          </w:p>
          <w:p w14:paraId="047B0C21">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多晶硅，转换率＞18%，4时段控制功能，可变功率，有过充过放及防反接功能，平均寿命≥10年；</w:t>
            </w:r>
          </w:p>
          <w:p w14:paraId="2471AD94">
            <w:pPr>
              <w:keepNext w:val="0"/>
              <w:keepLines w:val="0"/>
              <w:pageBreakBefore w:val="0"/>
              <w:kinsoku/>
              <w:overflowPunct/>
              <w:topLinePunct w:val="0"/>
              <w:autoSpaceDE/>
              <w:autoSpaceDN/>
              <w:bidi w:val="0"/>
              <w:jc w:val="both"/>
              <w:rPr>
                <w:rFonts w:hint="eastAsia" w:ascii="宋体" w:hAnsi="宋体" w:eastAsia="宋体" w:cs="宋体"/>
                <w:sz w:val="21"/>
                <w:szCs w:val="21"/>
              </w:rPr>
            </w:pPr>
            <w:r>
              <w:rPr>
                <w:rFonts w:hint="eastAsia" w:ascii="宋体" w:hAnsi="宋体" w:eastAsia="宋体" w:cs="宋体"/>
                <w:sz w:val="21"/>
                <w:szCs w:val="21"/>
              </w:rPr>
              <w:t>5、太阳能专用锂电池：★额定容量≥50AH。</w:t>
            </w:r>
          </w:p>
          <w:p w14:paraId="4263345B">
            <w:pPr>
              <w:keepNext w:val="0"/>
              <w:keepLines w:val="0"/>
              <w:pageBreakBefore w:val="0"/>
              <w:kinsoku/>
              <w:overflowPunct/>
              <w:topLinePunct w:val="0"/>
              <w:autoSpaceDE/>
              <w:autoSpaceDN/>
              <w:bidi w:val="0"/>
              <w:jc w:val="both"/>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sz w:val="21"/>
                <w:szCs w:val="21"/>
              </w:rPr>
              <w:t>灯头内置，寿命≥10年，亮灯时间12小时</w:t>
            </w:r>
            <w:r>
              <w:rPr>
                <w:rFonts w:hint="eastAsia" w:ascii="宋体" w:hAnsi="宋体" w:cs="宋体"/>
                <w:sz w:val="21"/>
                <w:szCs w:val="21"/>
                <w:lang w:eastAsia="zh-CN"/>
              </w:rPr>
              <w:t>。</w:t>
            </w:r>
          </w:p>
        </w:tc>
        <w:tc>
          <w:tcPr>
            <w:tcW w:w="641" w:type="dxa"/>
            <w:shd w:val="clear" w:color="auto" w:fill="FFFFFF"/>
            <w:noWrap w:val="0"/>
            <w:vAlign w:val="center"/>
          </w:tcPr>
          <w:p w14:paraId="5371F2C1">
            <w:pPr>
              <w:keepNext w:val="0"/>
              <w:keepLines w:val="0"/>
              <w:pageBreakBefore w:val="0"/>
              <w:kinsoku/>
              <w:overflowPunct/>
              <w:topLinePunct w:val="0"/>
              <w:autoSpaceDE/>
              <w:autoSpaceDN/>
              <w:bidi w:val="0"/>
              <w:jc w:val="center"/>
              <w:rPr>
                <w:rFonts w:hint="default" w:ascii="宋体" w:hAnsi="宋体" w:eastAsia="宋体" w:cs="仿宋"/>
                <w:sz w:val="21"/>
                <w:szCs w:val="21"/>
                <w:lang w:val="en-US" w:eastAsia="zh-CN"/>
              </w:rPr>
            </w:pPr>
            <w:r>
              <w:rPr>
                <w:rFonts w:hint="eastAsia" w:ascii="宋体" w:hAnsi="宋体" w:eastAsia="宋体" w:cs="仿宋"/>
                <w:sz w:val="21"/>
                <w:szCs w:val="21"/>
                <w:lang w:val="en-US" w:eastAsia="zh-CN"/>
              </w:rPr>
              <w:t>套</w:t>
            </w:r>
          </w:p>
        </w:tc>
        <w:tc>
          <w:tcPr>
            <w:tcW w:w="690" w:type="dxa"/>
            <w:shd w:val="clear" w:color="auto" w:fill="FFFFFF"/>
            <w:noWrap w:val="0"/>
            <w:vAlign w:val="center"/>
          </w:tcPr>
          <w:p w14:paraId="5EF0D4A3">
            <w:pPr>
              <w:keepNext w:val="0"/>
              <w:keepLines w:val="0"/>
              <w:pageBreakBefore w:val="0"/>
              <w:kinsoku/>
              <w:overflowPunct/>
              <w:topLinePunct w:val="0"/>
              <w:autoSpaceDE/>
              <w:autoSpaceDN/>
              <w:bidi w:val="0"/>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416</w:t>
            </w:r>
          </w:p>
        </w:tc>
        <w:tc>
          <w:tcPr>
            <w:tcW w:w="1150" w:type="dxa"/>
            <w:shd w:val="clear" w:color="auto" w:fill="FFFFFF"/>
            <w:noWrap w:val="0"/>
            <w:vAlign w:val="center"/>
          </w:tcPr>
          <w:p w14:paraId="124F756D">
            <w:pPr>
              <w:keepNext w:val="0"/>
              <w:keepLines w:val="0"/>
              <w:pageBreakBefore w:val="0"/>
              <w:kinsoku/>
              <w:overflowPunct/>
              <w:topLinePunct w:val="0"/>
              <w:autoSpaceDE/>
              <w:autoSpaceDN/>
              <w:bidi w:val="0"/>
              <w:jc w:val="center"/>
              <w:rPr>
                <w:rFonts w:hint="eastAsia"/>
                <w:lang w:val="en-US" w:eastAsia="zh-CN"/>
              </w:rPr>
            </w:pPr>
            <w:r>
              <w:drawing>
                <wp:inline distT="0" distB="0" distL="114300" distR="114300">
                  <wp:extent cx="613410" cy="380365"/>
                  <wp:effectExtent l="0" t="0" r="152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13410" cy="380365"/>
                          </a:xfrm>
                          <a:prstGeom prst="rect">
                            <a:avLst/>
                          </a:prstGeom>
                          <a:noFill/>
                          <a:ln>
                            <a:noFill/>
                          </a:ln>
                        </pic:spPr>
                      </pic:pic>
                    </a:graphicData>
                  </a:graphic>
                </wp:inline>
              </w:drawing>
            </w:r>
          </w:p>
        </w:tc>
      </w:tr>
      <w:tr w14:paraId="6308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823" w:type="dxa"/>
            <w:gridSpan w:val="6"/>
            <w:shd w:val="clear" w:color="auto" w:fill="FFFFFF"/>
            <w:noWrap w:val="0"/>
            <w:vAlign w:val="center"/>
          </w:tcPr>
          <w:p w14:paraId="1F28764B">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备注：</w:t>
            </w:r>
          </w:p>
          <w:p w14:paraId="40D15686">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2"/>
                <w:szCs w:val="22"/>
                <w:lang w:val="en-US" w:eastAsia="zh-CN" w:bidi="ar-SA"/>
              </w:rPr>
            </w:pPr>
            <w:r>
              <w:rPr>
                <w:rFonts w:hint="eastAsia" w:ascii="宋体" w:hAnsi="宋体" w:eastAsia="宋体" w:cs="黑体"/>
                <w:color w:val="auto"/>
                <w:kern w:val="2"/>
                <w:sz w:val="22"/>
                <w:szCs w:val="22"/>
                <w:lang w:val="en-US" w:eastAsia="zh-CN" w:bidi="ar-SA"/>
              </w:rPr>
              <w:t>1、上述带“★”为主要规格参数，报价时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标志、有电子版报告的二维码、内页附有样品照片及外形尺寸】，且报告中参数指标涵盖“★”采购要求。灯具的外观与样品图要求的外观一致，尺寸大小允许偏差在±5%以内 （含±5%）。检测报告出具（签发）日期距本项目报价截止时间不超过3年，否则视为无效。</w:t>
            </w:r>
          </w:p>
          <w:p w14:paraId="7616CFE7">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2"/>
                <w:szCs w:val="22"/>
                <w:lang w:val="en-US" w:eastAsia="zh-CN" w:bidi="ar-SA"/>
              </w:rPr>
            </w:pPr>
            <w:r>
              <w:rPr>
                <w:rFonts w:hint="eastAsia" w:ascii="宋体" w:hAnsi="宋体" w:eastAsia="宋体" w:cs="黑体"/>
                <w:color w:val="auto"/>
                <w:kern w:val="2"/>
                <w:sz w:val="22"/>
                <w:szCs w:val="22"/>
                <w:lang w:val="en-US" w:eastAsia="zh-CN" w:bidi="ar-SA"/>
              </w:rPr>
              <w:t>2、路灯拆除不按数量计算，所有需要拆除的路灯均计入拆除一项中，供应商在拆除原有路灯及配线等附件时，不得暴力拆除，不得破坏灯杆，不得破坏原有路灯等。</w:t>
            </w:r>
          </w:p>
          <w:p w14:paraId="1CD4FD09">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2"/>
                <w:szCs w:val="22"/>
                <w:lang w:val="en-US" w:eastAsia="zh-CN" w:bidi="ar-SA"/>
              </w:rPr>
            </w:pPr>
            <w:r>
              <w:rPr>
                <w:rFonts w:hint="eastAsia" w:ascii="宋体" w:hAnsi="宋体" w:eastAsia="宋体" w:cs="黑体"/>
                <w:color w:val="auto"/>
                <w:kern w:val="2"/>
                <w:sz w:val="22"/>
                <w:szCs w:val="22"/>
                <w:lang w:val="en-US" w:eastAsia="zh-CN" w:bidi="ar-SA"/>
              </w:rPr>
              <w:t>3、请供应商实地考察现场，综合考虑各种因素后报价。</w:t>
            </w:r>
          </w:p>
          <w:p w14:paraId="34E45F5C">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2"/>
                <w:szCs w:val="22"/>
                <w:lang w:val="en-US" w:eastAsia="zh-CN" w:bidi="ar-SA"/>
              </w:rPr>
            </w:pPr>
            <w:r>
              <w:rPr>
                <w:rFonts w:hint="eastAsia" w:ascii="宋体" w:hAnsi="宋体" w:eastAsia="宋体" w:cs="黑体"/>
                <w:color w:val="auto"/>
                <w:kern w:val="2"/>
                <w:sz w:val="22"/>
                <w:szCs w:val="22"/>
                <w:lang w:val="en-US" w:eastAsia="zh-CN" w:bidi="ar-SA"/>
              </w:rPr>
              <w:t>4、采购标准要求以采购要求、相关国家标准为准，在标准和采购要求不一致时，按要求高的标准执行。</w:t>
            </w:r>
          </w:p>
          <w:p w14:paraId="7FF767BE">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2"/>
                <w:szCs w:val="22"/>
                <w:lang w:val="en-US" w:eastAsia="zh-CN" w:bidi="ar-SA"/>
              </w:rPr>
            </w:pPr>
            <w:r>
              <w:rPr>
                <w:rFonts w:hint="eastAsia" w:ascii="宋体" w:hAnsi="宋体" w:eastAsia="宋体" w:cs="黑体"/>
                <w:color w:val="auto"/>
                <w:kern w:val="2"/>
                <w:sz w:val="22"/>
                <w:szCs w:val="22"/>
                <w:lang w:val="en-US" w:eastAsia="zh-CN" w:bidi="ar-SA"/>
              </w:rPr>
              <w:t>5、供应商提供的所有货物都必须为全新的原厂正品，不接受翻新产品。</w:t>
            </w:r>
          </w:p>
          <w:p w14:paraId="61D67EE3">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2"/>
                <w:szCs w:val="22"/>
                <w:lang w:val="en-US" w:eastAsia="zh-CN" w:bidi="ar-SA"/>
              </w:rPr>
            </w:pPr>
            <w:r>
              <w:rPr>
                <w:rFonts w:hint="eastAsia" w:ascii="宋体" w:hAnsi="宋体" w:eastAsia="宋体" w:cs="黑体"/>
                <w:color w:val="auto"/>
                <w:kern w:val="2"/>
                <w:sz w:val="22"/>
                <w:szCs w:val="22"/>
                <w:lang w:val="en-US" w:eastAsia="zh-CN" w:bidi="ar-SA"/>
              </w:rPr>
              <w:t>6、供应商提供的所有货物及包装、标签、标识都应符合国家相关规定要求。</w:t>
            </w:r>
          </w:p>
          <w:p w14:paraId="1AD0E291">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黑体"/>
                <w:color w:val="auto"/>
                <w:kern w:val="2"/>
                <w:sz w:val="22"/>
                <w:szCs w:val="22"/>
                <w:lang w:val="en-US" w:eastAsia="zh-CN" w:bidi="ar-SA"/>
              </w:rPr>
            </w:pPr>
            <w:r>
              <w:rPr>
                <w:rFonts w:hint="eastAsia" w:ascii="宋体" w:hAnsi="宋体" w:eastAsia="宋体" w:cs="黑体"/>
                <w:color w:val="auto"/>
                <w:kern w:val="2"/>
                <w:sz w:val="22"/>
                <w:szCs w:val="22"/>
                <w:lang w:val="en-US" w:eastAsia="zh-CN" w:bidi="ar-SA"/>
              </w:rPr>
              <w:t>7、供应商报价的所有路灯产品必须为同一品牌，并且须在报价表上明确所投太阳能路灯产品的品牌及型号，否则视为无效响应。</w:t>
            </w:r>
          </w:p>
          <w:p w14:paraId="6BB750E1">
            <w:pPr>
              <w:pStyle w:val="7"/>
              <w:keepNext w:val="0"/>
              <w:keepLines w:val="0"/>
              <w:pageBreakBefore w:val="0"/>
              <w:widowControl w:val="0"/>
              <w:kinsoku/>
              <w:wordWrap w:val="0"/>
              <w:overflowPunct/>
              <w:topLinePunct w:val="0"/>
              <w:autoSpaceDE/>
              <w:autoSpaceDN/>
              <w:bidi w:val="0"/>
              <w:adjustRightInd/>
              <w:snapToGrid/>
              <w:spacing w:line="320" w:lineRule="exact"/>
              <w:ind w:left="0" w:leftChars="0" w:firstLine="0" w:firstLineChars="0"/>
              <w:jc w:val="both"/>
              <w:textAlignment w:val="auto"/>
            </w:pPr>
            <w:r>
              <w:rPr>
                <w:rFonts w:hint="eastAsia" w:ascii="宋体" w:hAnsi="宋体" w:eastAsia="宋体" w:cs="黑体"/>
                <w:color w:val="auto"/>
                <w:kern w:val="2"/>
                <w:sz w:val="22"/>
                <w:szCs w:val="22"/>
                <w:lang w:val="en-US" w:eastAsia="zh-CN" w:bidi="ar-SA"/>
              </w:rPr>
              <w:t>8、以上太阳能路灯的数量为暂定，实际安装数量以采购人的实际需求为准。按实结算。</w:t>
            </w:r>
          </w:p>
        </w:tc>
      </w:tr>
    </w:tbl>
    <w:p w14:paraId="73952A1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黑体"/>
          <w:color w:val="auto"/>
          <w:sz w:val="24"/>
          <w:szCs w:val="24"/>
          <w:lang w:val="en-US" w:eastAsia="zh-CN"/>
        </w:rPr>
      </w:pPr>
      <w:r>
        <w:rPr>
          <w:rFonts w:hint="eastAsia" w:ascii="宋体" w:hAnsi="宋体" w:cs="黑体"/>
          <w:b/>
          <w:bCs/>
          <w:color w:val="auto"/>
          <w:sz w:val="24"/>
          <w:szCs w:val="24"/>
          <w:lang w:val="en-US" w:eastAsia="zh-CN"/>
        </w:rPr>
        <w:t>二</w:t>
      </w:r>
      <w:r>
        <w:rPr>
          <w:rFonts w:hint="eastAsia" w:ascii="宋体" w:hAnsi="宋体" w:cs="黑体"/>
          <w:b/>
          <w:bCs/>
          <w:color w:val="auto"/>
          <w:sz w:val="24"/>
          <w:szCs w:val="24"/>
        </w:rPr>
        <w:t>、</w:t>
      </w:r>
      <w:r>
        <w:rPr>
          <w:rFonts w:ascii="宋体" w:hAnsi="宋体" w:cs="黑体"/>
          <w:b/>
          <w:bCs/>
          <w:color w:val="auto"/>
          <w:sz w:val="24"/>
          <w:szCs w:val="24"/>
        </w:rPr>
        <w:t>报价供应商的要求</w:t>
      </w:r>
      <w:r>
        <w:rPr>
          <w:rFonts w:hint="eastAsia" w:ascii="宋体" w:hAnsi="宋体" w:cs="黑体"/>
          <w:b/>
          <w:bCs/>
          <w:color w:val="auto"/>
          <w:sz w:val="24"/>
          <w:szCs w:val="24"/>
          <w:lang w:eastAsia="zh-CN"/>
        </w:rPr>
        <w:t>：</w:t>
      </w:r>
      <w:r>
        <w:rPr>
          <w:rFonts w:hint="eastAsia" w:cs="仿宋" w:asciiTheme="minorEastAsia" w:hAnsiTheme="minorEastAsia"/>
          <w:color w:val="333333"/>
          <w:kern w:val="0"/>
          <w:sz w:val="24"/>
          <w:shd w:val="clear" w:color="auto" w:fill="FFFFFF"/>
          <w:lang w:val="en-US" w:eastAsia="zh-CN"/>
        </w:rPr>
        <w:t>应有能力提供本项目中所采购的货物及服务，提供有效的营业执照。</w:t>
      </w:r>
    </w:p>
    <w:p w14:paraId="1BF9A40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黑体"/>
          <w:b/>
          <w:bCs/>
          <w:color w:val="auto"/>
          <w:sz w:val="24"/>
          <w:szCs w:val="24"/>
        </w:rPr>
      </w:pPr>
      <w:r>
        <w:rPr>
          <w:rFonts w:hint="eastAsia" w:ascii="宋体" w:hAnsi="宋体" w:cs="黑体"/>
          <w:b/>
          <w:bCs/>
          <w:color w:val="auto"/>
          <w:sz w:val="24"/>
          <w:szCs w:val="24"/>
          <w:lang w:val="en-US" w:eastAsia="zh-CN"/>
        </w:rPr>
        <w:t>三、</w:t>
      </w:r>
      <w:r>
        <w:rPr>
          <w:rFonts w:hint="eastAsia" w:ascii="宋体" w:hAnsi="宋体" w:cs="黑体"/>
          <w:b/>
          <w:bCs/>
          <w:color w:val="auto"/>
          <w:sz w:val="24"/>
          <w:szCs w:val="24"/>
        </w:rPr>
        <w:t>约定事项</w:t>
      </w:r>
    </w:p>
    <w:p w14:paraId="35626B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黑体"/>
          <w:color w:val="auto"/>
          <w:sz w:val="24"/>
          <w:szCs w:val="24"/>
          <w:lang w:val="en-US" w:eastAsia="zh-CN"/>
        </w:rPr>
      </w:pPr>
      <w:r>
        <w:rPr>
          <w:rFonts w:hint="eastAsia" w:ascii="宋体" w:hAnsi="宋体" w:eastAsia="宋体" w:cs="黑体"/>
          <w:color w:val="auto"/>
          <w:sz w:val="24"/>
          <w:szCs w:val="24"/>
          <w:lang w:val="en-US" w:eastAsia="zh-CN"/>
        </w:rPr>
        <w:t>1.参与报价的单位需将</w:t>
      </w:r>
      <w:r>
        <w:rPr>
          <w:rFonts w:hint="eastAsia" w:ascii="宋体" w:hAnsi="宋体" w:eastAsia="宋体" w:cs="黑体"/>
          <w:b/>
          <w:bCs/>
          <w:color w:val="auto"/>
          <w:sz w:val="24"/>
          <w:szCs w:val="24"/>
          <w:lang w:val="en-US" w:eastAsia="zh-CN"/>
        </w:rPr>
        <w:t>营业执照复印件、市场询价报价单及其他相关资料</w:t>
      </w:r>
      <w:r>
        <w:rPr>
          <w:rFonts w:hint="eastAsia" w:ascii="宋体" w:hAnsi="宋体" w:cs="黑体"/>
          <w:b/>
          <w:bCs/>
          <w:color w:val="auto"/>
          <w:sz w:val="24"/>
          <w:szCs w:val="24"/>
          <w:lang w:val="en-US" w:eastAsia="zh-CN"/>
        </w:rPr>
        <w:t>均</w:t>
      </w:r>
      <w:bookmarkStart w:id="0" w:name="_GoBack"/>
      <w:bookmarkEnd w:id="0"/>
      <w:r>
        <w:rPr>
          <w:rFonts w:hint="eastAsia" w:ascii="宋体" w:hAnsi="宋体" w:eastAsia="宋体" w:cs="宋体"/>
          <w:b/>
          <w:bCs/>
          <w:sz w:val="24"/>
          <w:szCs w:val="24"/>
          <w:lang w:val="en-US" w:eastAsia="zh-CN"/>
        </w:rPr>
        <w:t>加盖单位公章</w:t>
      </w:r>
      <w:r>
        <w:rPr>
          <w:rFonts w:hint="eastAsia" w:ascii="宋体" w:hAnsi="宋体" w:eastAsia="宋体" w:cs="黑体"/>
          <w:color w:val="auto"/>
          <w:sz w:val="24"/>
          <w:szCs w:val="24"/>
          <w:lang w:val="en-US" w:eastAsia="zh-CN"/>
        </w:rPr>
        <w:t>，于</w:t>
      </w:r>
      <w:r>
        <w:rPr>
          <w:rFonts w:hint="eastAsia" w:ascii="宋体" w:hAnsi="宋体" w:eastAsia="宋体" w:cs="黑体"/>
          <w:b/>
          <w:bCs/>
          <w:color w:val="auto"/>
          <w:sz w:val="24"/>
          <w:szCs w:val="24"/>
          <w:u w:val="single"/>
          <w:lang w:val="en-US" w:eastAsia="zh-CN"/>
        </w:rPr>
        <w:t>202</w:t>
      </w:r>
      <w:r>
        <w:rPr>
          <w:rFonts w:hint="eastAsia" w:ascii="宋体" w:hAnsi="宋体" w:cs="黑体"/>
          <w:b/>
          <w:bCs/>
          <w:color w:val="auto"/>
          <w:sz w:val="24"/>
          <w:szCs w:val="24"/>
          <w:u w:val="single"/>
          <w:lang w:val="en-US" w:eastAsia="zh-CN"/>
        </w:rPr>
        <w:t>6</w:t>
      </w:r>
      <w:r>
        <w:rPr>
          <w:rFonts w:hint="eastAsia" w:ascii="宋体" w:hAnsi="宋体" w:eastAsia="宋体" w:cs="黑体"/>
          <w:color w:val="auto"/>
          <w:sz w:val="24"/>
          <w:szCs w:val="24"/>
          <w:lang w:val="en-US" w:eastAsia="zh-CN"/>
        </w:rPr>
        <w:t>年</w:t>
      </w:r>
      <w:r>
        <w:rPr>
          <w:rFonts w:hint="eastAsia" w:ascii="宋体" w:hAnsi="宋体" w:cs="黑体"/>
          <w:b/>
          <w:bCs/>
          <w:color w:val="auto"/>
          <w:sz w:val="24"/>
          <w:szCs w:val="24"/>
          <w:u w:val="single"/>
          <w:lang w:val="en-US" w:eastAsia="zh-CN"/>
        </w:rPr>
        <w:t>04</w:t>
      </w:r>
      <w:r>
        <w:rPr>
          <w:rFonts w:hint="eastAsia" w:ascii="宋体" w:hAnsi="宋体" w:eastAsia="宋体" w:cs="黑体"/>
          <w:color w:val="auto"/>
          <w:sz w:val="24"/>
          <w:szCs w:val="24"/>
          <w:lang w:val="en-US" w:eastAsia="zh-CN"/>
        </w:rPr>
        <w:t>月</w:t>
      </w:r>
      <w:r>
        <w:rPr>
          <w:rFonts w:hint="eastAsia" w:ascii="宋体" w:hAnsi="宋体" w:cs="黑体"/>
          <w:b/>
          <w:bCs/>
          <w:color w:val="auto"/>
          <w:sz w:val="24"/>
          <w:szCs w:val="24"/>
          <w:u w:val="single"/>
          <w:lang w:val="en-US" w:eastAsia="zh-CN"/>
        </w:rPr>
        <w:t>22</w:t>
      </w:r>
      <w:r>
        <w:rPr>
          <w:rFonts w:hint="eastAsia" w:ascii="宋体" w:hAnsi="宋体" w:eastAsia="宋体" w:cs="黑体"/>
          <w:color w:val="auto"/>
          <w:sz w:val="24"/>
          <w:szCs w:val="24"/>
          <w:lang w:val="en-US" w:eastAsia="zh-CN"/>
        </w:rPr>
        <w:t>日</w:t>
      </w:r>
      <w:r>
        <w:rPr>
          <w:rFonts w:hint="eastAsia" w:ascii="宋体" w:hAnsi="宋体" w:eastAsia="宋体" w:cs="黑体"/>
          <w:b/>
          <w:bCs/>
          <w:color w:val="auto"/>
          <w:sz w:val="24"/>
          <w:szCs w:val="24"/>
          <w:u w:val="single"/>
          <w:lang w:val="en-US" w:eastAsia="zh-CN"/>
        </w:rPr>
        <w:t>17:00</w:t>
      </w:r>
      <w:r>
        <w:rPr>
          <w:rFonts w:hint="eastAsia" w:ascii="宋体" w:hAnsi="宋体" w:eastAsia="宋体" w:cs="黑体"/>
          <w:color w:val="auto"/>
          <w:sz w:val="24"/>
          <w:szCs w:val="24"/>
          <w:lang w:val="en-US" w:eastAsia="zh-CN"/>
        </w:rPr>
        <w:t>前，送或寄（以邮戳为准）至</w:t>
      </w:r>
      <w:r>
        <w:rPr>
          <w:rFonts w:hint="eastAsia" w:ascii="宋体" w:hAnsi="宋体" w:cs="黑体"/>
          <w:b/>
          <w:bCs/>
          <w:color w:val="auto"/>
          <w:sz w:val="24"/>
          <w:szCs w:val="24"/>
          <w:u w:val="single"/>
          <w:lang w:val="en-US" w:eastAsia="zh-CN"/>
        </w:rPr>
        <w:t>江苏省</w:t>
      </w:r>
      <w:r>
        <w:rPr>
          <w:rFonts w:hint="eastAsia" w:ascii="宋体" w:hAnsi="宋体" w:eastAsia="宋体" w:cs="黑体"/>
          <w:b/>
          <w:bCs/>
          <w:color w:val="auto"/>
          <w:sz w:val="24"/>
          <w:szCs w:val="24"/>
          <w:u w:val="single"/>
          <w:lang w:val="en-US" w:eastAsia="zh-CN"/>
        </w:rPr>
        <w:t>启东市汇龙镇人民西路1188号中邦金座7楼</w:t>
      </w:r>
      <w:r>
        <w:rPr>
          <w:rFonts w:hint="eastAsia" w:ascii="宋体" w:hAnsi="宋体" w:cs="黑体"/>
          <w:b/>
          <w:bCs/>
          <w:color w:val="auto"/>
          <w:sz w:val="24"/>
          <w:szCs w:val="24"/>
          <w:u w:val="single"/>
          <w:lang w:val="en-US" w:eastAsia="zh-CN"/>
        </w:rPr>
        <w:t>工程代理部</w:t>
      </w:r>
      <w:r>
        <w:rPr>
          <w:rFonts w:hint="eastAsia" w:ascii="宋体" w:hAnsi="宋体" w:eastAsia="宋体" w:cs="黑体"/>
          <w:color w:val="auto"/>
          <w:sz w:val="24"/>
          <w:szCs w:val="24"/>
          <w:lang w:val="en-US" w:eastAsia="zh-CN"/>
        </w:rPr>
        <w:t>，联系人：</w:t>
      </w:r>
      <w:r>
        <w:rPr>
          <w:rFonts w:hint="eastAsia" w:ascii="宋体" w:hAnsi="宋体" w:eastAsia="宋体" w:cs="黑体"/>
          <w:b/>
          <w:bCs/>
          <w:color w:val="auto"/>
          <w:sz w:val="24"/>
          <w:szCs w:val="24"/>
          <w:u w:val="single"/>
          <w:lang w:val="en-US" w:eastAsia="zh-CN"/>
        </w:rPr>
        <w:t>龚女士</w:t>
      </w:r>
      <w:r>
        <w:rPr>
          <w:rFonts w:hint="eastAsia" w:ascii="宋体" w:hAnsi="宋体" w:eastAsia="宋体" w:cs="黑体"/>
          <w:color w:val="auto"/>
          <w:sz w:val="24"/>
          <w:szCs w:val="24"/>
          <w:lang w:val="en-US" w:eastAsia="zh-CN"/>
        </w:rPr>
        <w:t>，联系电话：</w:t>
      </w:r>
      <w:r>
        <w:rPr>
          <w:rFonts w:hint="eastAsia" w:ascii="宋体" w:hAnsi="宋体" w:eastAsia="宋体" w:cs="黑体"/>
          <w:b/>
          <w:bCs/>
          <w:color w:val="auto"/>
          <w:sz w:val="24"/>
          <w:szCs w:val="24"/>
          <w:u w:val="single"/>
          <w:lang w:val="en-US" w:eastAsia="zh-CN"/>
        </w:rPr>
        <w:t>13625225063</w:t>
      </w:r>
      <w:r>
        <w:rPr>
          <w:rFonts w:hint="eastAsia" w:ascii="宋体" w:hAnsi="宋体" w:eastAsia="宋体" w:cs="黑体"/>
          <w:color w:val="auto"/>
          <w:sz w:val="24"/>
          <w:szCs w:val="24"/>
          <w:lang w:val="en-US" w:eastAsia="zh-CN"/>
        </w:rPr>
        <w:t>。或发送电子扫描件至邮箱</w:t>
      </w:r>
      <w:r>
        <w:rPr>
          <w:rFonts w:hint="eastAsia" w:ascii="宋体" w:hAnsi="宋体" w:eastAsia="宋体" w:cs="黑体"/>
          <w:color w:val="auto"/>
          <w:sz w:val="24"/>
          <w:szCs w:val="24"/>
          <w:u w:val="single"/>
          <w:lang w:val="en-US" w:eastAsia="zh-CN"/>
        </w:rPr>
        <w:t>jsyongzheng@126.com</w:t>
      </w:r>
      <w:r>
        <w:rPr>
          <w:rFonts w:hint="eastAsia" w:ascii="宋体" w:hAnsi="宋体" w:eastAsia="宋体" w:cs="黑体"/>
          <w:color w:val="auto"/>
          <w:sz w:val="24"/>
          <w:szCs w:val="24"/>
          <w:lang w:val="en-US" w:eastAsia="zh-CN"/>
        </w:rPr>
        <w:t>。</w:t>
      </w:r>
    </w:p>
    <w:p w14:paraId="1AE3555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黑体"/>
          <w:color w:val="auto"/>
          <w:sz w:val="24"/>
          <w:szCs w:val="24"/>
          <w:lang w:val="en-US" w:eastAsia="zh-CN"/>
        </w:rPr>
      </w:pPr>
      <w:r>
        <w:rPr>
          <w:rFonts w:hint="eastAsia" w:ascii="宋体" w:hAnsi="宋体" w:eastAsia="宋体" w:cs="黑体"/>
          <w:color w:val="auto"/>
          <w:sz w:val="24"/>
          <w:szCs w:val="24"/>
          <w:lang w:val="en-US" w:eastAsia="zh-CN"/>
        </w:rPr>
        <w:t>2.上述采购要求为最低要求，不得负偏离，否则视为无效报价。</w:t>
      </w:r>
    </w:p>
    <w:p w14:paraId="4A507D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黑体"/>
          <w:color w:val="auto"/>
          <w:sz w:val="24"/>
          <w:szCs w:val="24"/>
          <w:lang w:val="en-US" w:eastAsia="zh-CN"/>
        </w:rPr>
      </w:pPr>
      <w:r>
        <w:rPr>
          <w:rFonts w:hint="eastAsia" w:ascii="宋体" w:hAnsi="宋体" w:eastAsia="宋体" w:cs="黑体"/>
          <w:color w:val="auto"/>
          <w:sz w:val="24"/>
          <w:szCs w:val="24"/>
          <w:lang w:val="en-US" w:eastAsia="zh-CN"/>
        </w:rPr>
        <w:t>3.质保要求：本项目所有货物整体必须提供不少于3年全免费质保（配件+人工）及售后服务。质保期内成交供应商应免费维修，质保期外的维修收费按国家和供应商的相关规定办理。所有货物质保时间为自验收合格之日起计。</w:t>
      </w:r>
      <w:r>
        <w:rPr>
          <w:rFonts w:hint="eastAsia" w:ascii="宋体" w:hAnsi="宋体" w:eastAsia="宋体" w:cs="黑体"/>
          <w:color w:val="auto"/>
          <w:sz w:val="24"/>
          <w:szCs w:val="24"/>
          <w:highlight w:val="none"/>
          <w:lang w:val="en-US" w:eastAsia="zh-CN"/>
        </w:rPr>
        <w:t>（如原厂质保期更久则根据原厂质保期）。</w:t>
      </w:r>
    </w:p>
    <w:p w14:paraId="695D841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黑体"/>
          <w:color w:val="auto"/>
          <w:sz w:val="24"/>
          <w:szCs w:val="24"/>
          <w:lang w:val="en-US" w:eastAsia="zh-CN"/>
        </w:rPr>
      </w:pPr>
      <w:r>
        <w:rPr>
          <w:rFonts w:hint="eastAsia" w:ascii="宋体" w:hAnsi="宋体" w:eastAsia="宋体" w:cs="黑体"/>
          <w:color w:val="auto"/>
          <w:sz w:val="24"/>
          <w:szCs w:val="24"/>
          <w:lang w:val="en-US" w:eastAsia="zh-CN"/>
        </w:rPr>
        <w:t>4.报价要求</w:t>
      </w:r>
    </w:p>
    <w:p w14:paraId="221854C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黑体"/>
          <w:color w:val="auto"/>
          <w:sz w:val="24"/>
          <w:szCs w:val="24"/>
          <w:lang w:val="en-US" w:eastAsia="zh-CN"/>
        </w:rPr>
      </w:pPr>
      <w:r>
        <w:rPr>
          <w:rFonts w:hint="eastAsia" w:ascii="宋体" w:hAnsi="宋体" w:eastAsia="宋体" w:cs="黑体"/>
          <w:color w:val="auto"/>
          <w:sz w:val="24"/>
          <w:szCs w:val="24"/>
          <w:lang w:val="en-US" w:eastAsia="zh-CN"/>
        </w:rPr>
        <w:t>本项目采用全费用综合单价报价方式，报价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请各供应商在报价时充分考虑各种因素</w:t>
      </w:r>
      <w:r>
        <w:rPr>
          <w:rFonts w:hint="eastAsia" w:ascii="宋体" w:hAnsi="宋体" w:cs="黑体"/>
          <w:color w:val="auto"/>
          <w:sz w:val="24"/>
          <w:szCs w:val="24"/>
          <w:lang w:val="en-US" w:eastAsia="zh-CN"/>
        </w:rPr>
        <w:t>。</w:t>
      </w:r>
    </w:p>
    <w:p w14:paraId="736EDE0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黑体"/>
          <w:color w:val="auto"/>
          <w:sz w:val="24"/>
          <w:szCs w:val="24"/>
          <w:lang w:val="en-US" w:eastAsia="zh-CN"/>
        </w:rPr>
      </w:pPr>
      <w:r>
        <w:rPr>
          <w:rFonts w:hint="eastAsia" w:ascii="宋体" w:hAnsi="宋体" w:eastAsia="宋体" w:cs="黑体"/>
          <w:color w:val="auto"/>
          <w:sz w:val="24"/>
          <w:szCs w:val="24"/>
          <w:lang w:val="en-US" w:eastAsia="zh-CN"/>
        </w:rPr>
        <w:t>5.采购资金的支付时间、条件：</w:t>
      </w:r>
    </w:p>
    <w:p w14:paraId="43E2FF0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黑体"/>
          <w:color w:val="000000" w:themeColor="text1"/>
          <w:sz w:val="24"/>
          <w:szCs w:val="24"/>
          <w:lang w:val="en-US" w:eastAsia="zh-CN"/>
          <w14:textFill>
            <w14:solidFill>
              <w14:schemeClr w14:val="tx1"/>
            </w14:solidFill>
          </w14:textFill>
        </w:rPr>
      </w:pPr>
      <w:r>
        <w:rPr>
          <w:rFonts w:hint="eastAsia" w:ascii="宋体" w:hAnsi="宋体" w:eastAsia="宋体" w:cs="黑体"/>
          <w:color w:val="auto"/>
          <w:sz w:val="24"/>
          <w:szCs w:val="24"/>
          <w:lang w:val="en-US" w:eastAsia="zh-CN"/>
        </w:rPr>
        <w:t>成交供应商供货、安装、调试完毕并经验收合格后，付至合同价的70%，验收合格满一年后付至项目审定价的90%，验收合格二年后付至项目审定价的97%，余款于验收合格满三年后且经采购人</w:t>
      </w:r>
      <w:r>
        <w:rPr>
          <w:rFonts w:hint="eastAsia" w:ascii="宋体" w:hAnsi="宋体" w:eastAsia="宋体" w:cs="黑体"/>
          <w:color w:val="000000" w:themeColor="text1"/>
          <w:sz w:val="24"/>
          <w:szCs w:val="24"/>
          <w:lang w:val="en-US" w:eastAsia="zh-CN"/>
          <w14:textFill>
            <w14:solidFill>
              <w14:schemeClr w14:val="tx1"/>
            </w14:solidFill>
          </w14:textFill>
        </w:rPr>
        <w:t>确认无质量问题后一次性付清。</w:t>
      </w:r>
    </w:p>
    <w:p w14:paraId="173B02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黑体"/>
          <w:color w:val="000000" w:themeColor="text1"/>
          <w:sz w:val="24"/>
          <w:szCs w:val="24"/>
          <w:lang w:val="en-US" w:eastAsia="zh-CN"/>
          <w14:textFill>
            <w14:solidFill>
              <w14:schemeClr w14:val="tx1"/>
            </w14:solidFill>
          </w14:textFill>
        </w:rPr>
      </w:pPr>
      <w:r>
        <w:rPr>
          <w:rFonts w:hint="eastAsia" w:ascii="宋体" w:hAnsi="宋体" w:eastAsia="宋体" w:cs="黑体"/>
          <w:color w:val="000000" w:themeColor="text1"/>
          <w:sz w:val="24"/>
          <w:szCs w:val="24"/>
          <w:lang w:val="en-US" w:eastAsia="zh-CN"/>
          <w14:textFill>
            <w14:solidFill>
              <w14:schemeClr w14:val="tx1"/>
            </w14:solidFill>
          </w14:textFill>
        </w:rPr>
        <w:t>6.其他：（1）请报价单位认真核算、如实报价，如发现虚假报价的，该单位今后将被列入采购单位黑名单；（2）本次报价仅作为市场调研用，因此价格仅供参考；（3）本次调研询价不接收质疑函，只接收对本项目的建议。</w:t>
      </w:r>
      <w:r>
        <w:rPr>
          <w:rFonts w:hint="eastAsia" w:ascii="宋体" w:hAnsi="宋体" w:eastAsia="宋体" w:cs="宋体"/>
          <w:color w:val="000000" w:themeColor="text1"/>
          <w:sz w:val="24"/>
          <w:szCs w:val="24"/>
          <w14:textFill>
            <w14:solidFill>
              <w14:schemeClr w14:val="tx1"/>
            </w14:solidFill>
          </w14:textFill>
        </w:rPr>
        <w:t>（4）本次询价活动最终解释权为</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所有。</w:t>
      </w:r>
    </w:p>
    <w:p w14:paraId="5F649A84">
      <w:pPr>
        <w:jc w:val="center"/>
        <w:rPr>
          <w:rFonts w:hint="eastAsia" w:ascii="宋体" w:hAnsi="宋体" w:eastAsia="宋体"/>
          <w:b/>
          <w:bCs/>
          <w:color w:val="000000" w:themeColor="text1"/>
          <w:sz w:val="28"/>
          <w:szCs w:val="28"/>
          <w:lang w:val="en-US" w:eastAsia="zh-CN"/>
          <w14:textFill>
            <w14:solidFill>
              <w14:schemeClr w14:val="tx1"/>
            </w14:solidFill>
          </w14:textFill>
        </w:rPr>
      </w:pPr>
    </w:p>
    <w:p w14:paraId="44867F41">
      <w:pPr>
        <w:pStyle w:val="2"/>
        <w:rPr>
          <w:rFonts w:hint="eastAsia"/>
          <w:lang w:val="en-US" w:eastAsia="zh-CN"/>
        </w:rPr>
      </w:pPr>
    </w:p>
    <w:p w14:paraId="6B0B85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黑体"/>
          <w:color w:val="000000" w:themeColor="text1"/>
          <w:sz w:val="24"/>
          <w:szCs w:val="24"/>
          <w:lang w:val="en-US" w:eastAsia="zh-CN"/>
          <w14:textFill>
            <w14:solidFill>
              <w14:schemeClr w14:val="tx1"/>
            </w14:solidFill>
          </w14:textFill>
        </w:rPr>
      </w:pPr>
      <w:r>
        <w:rPr>
          <w:rFonts w:hint="eastAsia" w:ascii="宋体" w:hAnsi="宋体" w:eastAsia="宋体" w:cs="黑体"/>
          <w:color w:val="000000" w:themeColor="text1"/>
          <w:sz w:val="24"/>
          <w:szCs w:val="24"/>
          <w:lang w:val="en-US" w:eastAsia="zh-CN"/>
          <w14:textFill>
            <w14:solidFill>
              <w14:schemeClr w14:val="tx1"/>
            </w14:solidFill>
          </w14:textFill>
        </w:rPr>
        <w:t>启东市合作镇达育村股份经济合作社                                                202</w:t>
      </w:r>
      <w:r>
        <w:rPr>
          <w:rFonts w:hint="eastAsia" w:ascii="宋体" w:hAnsi="宋体" w:cs="黑体"/>
          <w:color w:val="000000" w:themeColor="text1"/>
          <w:sz w:val="24"/>
          <w:szCs w:val="24"/>
          <w:lang w:val="en-US" w:eastAsia="zh-CN"/>
          <w14:textFill>
            <w14:solidFill>
              <w14:schemeClr w14:val="tx1"/>
            </w14:solidFill>
          </w14:textFill>
        </w:rPr>
        <w:t>6</w:t>
      </w:r>
      <w:r>
        <w:rPr>
          <w:rFonts w:hint="eastAsia" w:ascii="宋体" w:hAnsi="宋体" w:eastAsia="宋体" w:cs="黑体"/>
          <w:color w:val="000000" w:themeColor="text1"/>
          <w:sz w:val="24"/>
          <w:szCs w:val="24"/>
          <w:lang w:val="en-US" w:eastAsia="zh-CN"/>
          <w14:textFill>
            <w14:solidFill>
              <w14:schemeClr w14:val="tx1"/>
            </w14:solidFill>
          </w14:textFill>
        </w:rPr>
        <w:t>年</w:t>
      </w:r>
      <w:r>
        <w:rPr>
          <w:rFonts w:hint="eastAsia" w:ascii="宋体" w:hAnsi="宋体" w:cs="黑体"/>
          <w:color w:val="000000" w:themeColor="text1"/>
          <w:sz w:val="24"/>
          <w:szCs w:val="24"/>
          <w:lang w:val="en-US" w:eastAsia="zh-CN"/>
          <w14:textFill>
            <w14:solidFill>
              <w14:schemeClr w14:val="tx1"/>
            </w14:solidFill>
          </w14:textFill>
        </w:rPr>
        <w:t>04</w:t>
      </w:r>
      <w:r>
        <w:rPr>
          <w:rFonts w:hint="eastAsia" w:ascii="宋体" w:hAnsi="宋体" w:eastAsia="宋体" w:cs="黑体"/>
          <w:color w:val="000000" w:themeColor="text1"/>
          <w:sz w:val="24"/>
          <w:szCs w:val="24"/>
          <w:lang w:val="en-US" w:eastAsia="zh-CN"/>
          <w14:textFill>
            <w14:solidFill>
              <w14:schemeClr w14:val="tx1"/>
            </w14:solidFill>
          </w14:textFill>
        </w:rPr>
        <w:t>月</w:t>
      </w:r>
      <w:r>
        <w:rPr>
          <w:rFonts w:hint="eastAsia" w:ascii="宋体" w:hAnsi="宋体" w:cs="黑体"/>
          <w:color w:val="000000" w:themeColor="text1"/>
          <w:sz w:val="24"/>
          <w:szCs w:val="24"/>
          <w:lang w:val="en-US" w:eastAsia="zh-CN"/>
          <w14:textFill>
            <w14:solidFill>
              <w14:schemeClr w14:val="tx1"/>
            </w14:solidFill>
          </w14:textFill>
        </w:rPr>
        <w:t>17</w:t>
      </w:r>
      <w:r>
        <w:rPr>
          <w:rFonts w:hint="eastAsia" w:ascii="宋体" w:hAnsi="宋体" w:eastAsia="宋体" w:cs="黑体"/>
          <w:color w:val="000000" w:themeColor="text1"/>
          <w:sz w:val="24"/>
          <w:szCs w:val="24"/>
          <w:lang w:val="en-US" w:eastAsia="zh-CN"/>
          <w14:textFill>
            <w14:solidFill>
              <w14:schemeClr w14:val="tx1"/>
            </w14:solidFill>
          </w14:textFill>
        </w:rPr>
        <w:t>日</w:t>
      </w:r>
    </w:p>
    <w:p w14:paraId="67B7D9BA">
      <w:pPr>
        <w:pStyle w:val="7"/>
        <w:ind w:left="0" w:leftChars="0" w:firstLine="0" w:firstLineChars="0"/>
        <w:jc w:val="right"/>
        <w:rPr>
          <w:rFonts w:hint="eastAsia" w:ascii="宋体" w:hAnsi="宋体" w:eastAsia="宋体" w:cs="Times New Roman"/>
          <w:b/>
          <w:bCs/>
          <w:color w:val="000000" w:themeColor="text1"/>
          <w:sz w:val="28"/>
          <w:szCs w:val="28"/>
          <w:lang w:val="en-US" w:eastAsia="zh-CN"/>
          <w14:textFill>
            <w14:solidFill>
              <w14:schemeClr w14:val="tx1"/>
            </w14:solidFill>
          </w14:textFill>
        </w:rPr>
      </w:pPr>
    </w:p>
    <w:p w14:paraId="0C73EB6D">
      <w:pPr>
        <w:jc w:val="center"/>
        <w:rPr>
          <w:rFonts w:hint="eastAsia" w:ascii="宋体" w:hAnsi="宋体" w:eastAsia="宋体" w:cs="Times New Roman"/>
          <w:b/>
          <w:bCs/>
          <w:sz w:val="28"/>
          <w:szCs w:val="28"/>
          <w:lang w:val="en-US" w:eastAsia="zh-CN"/>
        </w:rPr>
      </w:pPr>
    </w:p>
    <w:p w14:paraId="4EC66315">
      <w:pPr>
        <w:jc w:val="both"/>
        <w:rPr>
          <w:rFonts w:hint="eastAsia" w:ascii="宋体" w:hAnsi="宋体" w:eastAsia="宋体" w:cs="Times New Roman"/>
          <w:b/>
          <w:bCs/>
          <w:sz w:val="28"/>
          <w:szCs w:val="28"/>
          <w:lang w:val="en-US" w:eastAsia="zh-CN"/>
        </w:rPr>
      </w:pPr>
    </w:p>
    <w:p w14:paraId="46828E47">
      <w:pPr>
        <w:pStyle w:val="2"/>
        <w:rPr>
          <w:rFonts w:hint="eastAsia" w:ascii="宋体" w:hAnsi="宋体" w:eastAsia="宋体" w:cs="Times New Roman"/>
          <w:b/>
          <w:bCs/>
          <w:sz w:val="28"/>
          <w:szCs w:val="28"/>
          <w:lang w:val="en-US" w:eastAsia="zh-CN"/>
        </w:rPr>
      </w:pPr>
    </w:p>
    <w:p w14:paraId="2E46AB99">
      <w:pPr>
        <w:pStyle w:val="14"/>
        <w:rPr>
          <w:rFonts w:hint="eastAsia" w:ascii="宋体" w:hAnsi="宋体" w:eastAsia="宋体" w:cs="Times New Roman"/>
          <w:b/>
          <w:bCs/>
          <w:sz w:val="28"/>
          <w:szCs w:val="28"/>
          <w:lang w:val="en-US" w:eastAsia="zh-CN"/>
        </w:rPr>
      </w:pPr>
    </w:p>
    <w:p w14:paraId="032CD0C5">
      <w:pPr>
        <w:jc w:val="both"/>
        <w:rPr>
          <w:rFonts w:hint="eastAsia" w:ascii="宋体" w:hAnsi="宋体" w:eastAsia="宋体" w:cs="Times New Roman"/>
          <w:b/>
          <w:bCs/>
          <w:sz w:val="28"/>
          <w:szCs w:val="28"/>
          <w:lang w:val="en-US" w:eastAsia="zh-CN"/>
        </w:rPr>
      </w:pPr>
    </w:p>
    <w:p w14:paraId="23E96A92">
      <w:pPr>
        <w:jc w:val="center"/>
        <w:rPr>
          <w:rFonts w:hint="eastAsia" w:ascii="宋体" w:hAnsi="宋体" w:eastAsia="宋体" w:cs="Times New Roman"/>
          <w:b/>
          <w:bCs/>
          <w:sz w:val="28"/>
          <w:szCs w:val="28"/>
          <w:lang w:val="en-US" w:eastAsia="zh-CN"/>
        </w:rPr>
      </w:pPr>
    </w:p>
    <w:p w14:paraId="3C1C69F9">
      <w:pPr>
        <w:keepNext w:val="0"/>
        <w:keepLines w:val="0"/>
        <w:pageBreakBefore w:val="0"/>
        <w:widowControl w:val="0"/>
        <w:kinsoku/>
        <w:wordWrap/>
        <w:overflowPunct/>
        <w:topLinePunct w:val="0"/>
        <w:autoSpaceDE/>
        <w:autoSpaceDN/>
        <w:bidi w:val="0"/>
        <w:adjustRightInd/>
        <w:snapToGrid/>
        <w:spacing w:after="157" w:afterLines="50" w:line="340" w:lineRule="exact"/>
        <w:jc w:val="both"/>
        <w:textAlignment w:val="auto"/>
        <w:rPr>
          <w:rFonts w:hint="eastAsia" w:ascii="宋体" w:hAnsi="宋体" w:eastAsia="宋体" w:cs="Times New Roman"/>
          <w:b/>
          <w:bCs/>
          <w:sz w:val="28"/>
          <w:szCs w:val="28"/>
          <w:lang w:val="en-US" w:eastAsia="zh-CN"/>
        </w:rPr>
      </w:pPr>
    </w:p>
    <w:p w14:paraId="6FF434B0">
      <w:pPr>
        <w:pStyle w:val="2"/>
        <w:rPr>
          <w:rFonts w:hint="eastAsia" w:ascii="宋体" w:hAnsi="宋体" w:eastAsia="宋体" w:cs="Times New Roman"/>
          <w:b/>
          <w:bCs/>
          <w:sz w:val="28"/>
          <w:szCs w:val="28"/>
          <w:lang w:val="en-US" w:eastAsia="zh-CN"/>
        </w:rPr>
      </w:pPr>
    </w:p>
    <w:p w14:paraId="7AF23398">
      <w:pPr>
        <w:rPr>
          <w:rFonts w:hint="eastAsia"/>
          <w:lang w:val="en-US" w:eastAsia="zh-CN"/>
        </w:rPr>
      </w:pPr>
    </w:p>
    <w:p w14:paraId="4987F935">
      <w:pPr>
        <w:keepNext w:val="0"/>
        <w:keepLines w:val="0"/>
        <w:pageBreakBefore w:val="0"/>
        <w:widowControl w:val="0"/>
        <w:kinsoku/>
        <w:wordWrap/>
        <w:overflowPunct/>
        <w:topLinePunct w:val="0"/>
        <w:autoSpaceDE/>
        <w:autoSpaceDN/>
        <w:bidi w:val="0"/>
        <w:adjustRightInd/>
        <w:snapToGrid/>
        <w:spacing w:after="157" w:afterLines="50" w:line="340" w:lineRule="exact"/>
        <w:jc w:val="center"/>
        <w:textAlignment w:val="auto"/>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启东市合作镇达育村太阳能路灯更换及新增项目</w:t>
      </w:r>
    </w:p>
    <w:p w14:paraId="16492C35">
      <w:pPr>
        <w:keepNext w:val="0"/>
        <w:keepLines w:val="0"/>
        <w:pageBreakBefore w:val="0"/>
        <w:widowControl w:val="0"/>
        <w:kinsoku/>
        <w:wordWrap/>
        <w:overflowPunct/>
        <w:topLinePunct w:val="0"/>
        <w:autoSpaceDE/>
        <w:autoSpaceDN/>
        <w:bidi w:val="0"/>
        <w:adjustRightInd/>
        <w:snapToGrid/>
        <w:spacing w:after="157" w:afterLines="50" w:line="340" w:lineRule="exact"/>
        <w:jc w:val="center"/>
        <w:textAlignment w:val="auto"/>
        <w:rPr>
          <w:rFonts w:hint="eastAsia" w:ascii="宋体" w:hAnsi="宋体" w:eastAsia="宋体"/>
          <w:b/>
          <w:bCs/>
          <w:color w:val="000000"/>
          <w:sz w:val="28"/>
          <w:szCs w:val="28"/>
        </w:rPr>
      </w:pPr>
      <w:r>
        <w:rPr>
          <w:rFonts w:hint="eastAsia" w:ascii="宋体" w:hAnsi="宋体" w:eastAsia="宋体" w:cs="Times New Roman"/>
          <w:b/>
          <w:bCs/>
          <w:sz w:val="28"/>
          <w:szCs w:val="28"/>
          <w:lang w:val="en-US" w:eastAsia="zh-CN"/>
        </w:rPr>
        <w:t>市</w:t>
      </w:r>
      <w:r>
        <w:rPr>
          <w:rFonts w:hint="eastAsia" w:ascii="宋体" w:hAnsi="宋体" w:eastAsia="宋体"/>
          <w:b/>
          <w:bCs/>
          <w:sz w:val="28"/>
          <w:szCs w:val="28"/>
          <w:lang w:val="en-US" w:eastAsia="zh-CN"/>
        </w:rPr>
        <w:t>场询价报价单</w:t>
      </w:r>
    </w:p>
    <w:tbl>
      <w:tblPr>
        <w:tblStyle w:val="10"/>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83"/>
        <w:gridCol w:w="1699"/>
        <w:gridCol w:w="669"/>
        <w:gridCol w:w="699"/>
        <w:gridCol w:w="1325"/>
        <w:gridCol w:w="1180"/>
        <w:gridCol w:w="1025"/>
        <w:gridCol w:w="976"/>
      </w:tblGrid>
      <w:tr w14:paraId="729A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97" w:type="dxa"/>
            <w:vAlign w:val="center"/>
          </w:tcPr>
          <w:p w14:paraId="3D3626BC">
            <w:pPr>
              <w:jc w:val="center"/>
              <w:rPr>
                <w:rFonts w:hint="eastAsia" w:ascii="宋体" w:hAnsi="宋体" w:eastAsia="宋体" w:cs="宋体"/>
                <w:b/>
                <w:bCs/>
                <w:color w:val="000000"/>
                <w:sz w:val="21"/>
                <w:szCs w:val="21"/>
                <w:vertAlign w:val="baseline"/>
              </w:rPr>
            </w:pPr>
            <w:r>
              <w:rPr>
                <w:rFonts w:hint="eastAsia" w:ascii="宋体" w:hAnsi="宋体" w:eastAsia="宋体" w:cs="宋体"/>
                <w:b/>
                <w:bCs/>
                <w:color w:val="000000"/>
                <w:sz w:val="21"/>
                <w:szCs w:val="21"/>
                <w:vertAlign w:val="baseline"/>
              </w:rPr>
              <w:t>序号</w:t>
            </w:r>
          </w:p>
        </w:tc>
        <w:tc>
          <w:tcPr>
            <w:tcW w:w="1283" w:type="dxa"/>
            <w:vAlign w:val="center"/>
          </w:tcPr>
          <w:p w14:paraId="608AA109">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货物名称</w:t>
            </w:r>
          </w:p>
        </w:tc>
        <w:tc>
          <w:tcPr>
            <w:tcW w:w="1699" w:type="dxa"/>
            <w:vAlign w:val="center"/>
          </w:tcPr>
          <w:p w14:paraId="6F971527">
            <w:pPr>
              <w:jc w:val="center"/>
              <w:rPr>
                <w:rFonts w:hint="eastAsia" w:ascii="宋体" w:hAnsi="宋体" w:eastAsia="宋体" w:cs="宋体"/>
                <w:b/>
                <w:bCs/>
                <w:color w:val="000000"/>
                <w:sz w:val="21"/>
                <w:szCs w:val="21"/>
                <w:vertAlign w:val="baseline"/>
              </w:rPr>
            </w:pPr>
            <w:r>
              <w:rPr>
                <w:rFonts w:hint="eastAsia" w:ascii="宋体" w:hAnsi="宋体" w:eastAsia="宋体" w:cs="宋体"/>
                <w:b/>
                <w:bCs/>
                <w:color w:val="000000"/>
                <w:sz w:val="21"/>
                <w:szCs w:val="21"/>
                <w:vertAlign w:val="baseline"/>
              </w:rPr>
              <w:t>规格</w:t>
            </w:r>
            <w:r>
              <w:rPr>
                <w:rFonts w:hint="eastAsia" w:ascii="宋体" w:hAnsi="宋体" w:eastAsia="宋体" w:cs="宋体"/>
                <w:b/>
                <w:bCs/>
                <w:color w:val="000000"/>
                <w:sz w:val="21"/>
                <w:szCs w:val="21"/>
                <w:vertAlign w:val="baseline"/>
                <w:lang w:eastAsia="zh-CN"/>
              </w:rPr>
              <w:t>、</w:t>
            </w:r>
            <w:r>
              <w:rPr>
                <w:rFonts w:hint="eastAsia" w:ascii="宋体" w:hAnsi="宋体" w:eastAsia="宋体" w:cs="宋体"/>
                <w:b/>
                <w:bCs/>
                <w:color w:val="000000"/>
                <w:sz w:val="21"/>
                <w:szCs w:val="21"/>
                <w:vertAlign w:val="baseline"/>
              </w:rPr>
              <w:t>参数</w:t>
            </w:r>
          </w:p>
        </w:tc>
        <w:tc>
          <w:tcPr>
            <w:tcW w:w="669" w:type="dxa"/>
            <w:vAlign w:val="center"/>
          </w:tcPr>
          <w:p w14:paraId="1710F24C">
            <w:pPr>
              <w:jc w:val="center"/>
              <w:rPr>
                <w:rFonts w:hint="eastAsia" w:ascii="宋体" w:hAnsi="宋体" w:eastAsia="宋体" w:cs="宋体"/>
                <w:b/>
                <w:bCs/>
                <w:color w:val="000000"/>
                <w:sz w:val="21"/>
                <w:szCs w:val="21"/>
                <w:vertAlign w:val="baseline"/>
              </w:rPr>
            </w:pPr>
            <w:r>
              <w:rPr>
                <w:rFonts w:hint="eastAsia" w:ascii="宋体" w:hAnsi="宋体" w:eastAsia="宋体" w:cs="宋体"/>
                <w:b/>
                <w:bCs/>
                <w:color w:val="000000"/>
                <w:sz w:val="21"/>
                <w:szCs w:val="21"/>
                <w:vertAlign w:val="baseline"/>
                <w:lang w:val="en-US" w:eastAsia="zh-CN"/>
              </w:rPr>
              <w:t>单位</w:t>
            </w:r>
          </w:p>
        </w:tc>
        <w:tc>
          <w:tcPr>
            <w:tcW w:w="699" w:type="dxa"/>
            <w:vAlign w:val="center"/>
          </w:tcPr>
          <w:p w14:paraId="7B2EF985">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数量</w:t>
            </w:r>
          </w:p>
        </w:tc>
        <w:tc>
          <w:tcPr>
            <w:tcW w:w="1325" w:type="dxa"/>
            <w:vAlign w:val="center"/>
          </w:tcPr>
          <w:p w14:paraId="605E9D30">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品牌及型号</w:t>
            </w:r>
          </w:p>
        </w:tc>
        <w:tc>
          <w:tcPr>
            <w:tcW w:w="1180" w:type="dxa"/>
            <w:vAlign w:val="center"/>
          </w:tcPr>
          <w:p w14:paraId="41BE74DB">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综合单价</w:t>
            </w:r>
            <w:r>
              <w:rPr>
                <w:rFonts w:hint="eastAsia" w:ascii="宋体" w:hAnsi="宋体" w:eastAsia="宋体" w:cs="宋体"/>
                <w:b/>
                <w:color w:val="auto"/>
                <w:kern w:val="0"/>
                <w:sz w:val="21"/>
                <w:szCs w:val="21"/>
              </w:rPr>
              <w:t>（元）</w:t>
            </w:r>
          </w:p>
        </w:tc>
        <w:tc>
          <w:tcPr>
            <w:tcW w:w="1025" w:type="dxa"/>
            <w:vAlign w:val="center"/>
          </w:tcPr>
          <w:p w14:paraId="0CE95916">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合计</w:t>
            </w:r>
            <w:r>
              <w:rPr>
                <w:rFonts w:hint="eastAsia" w:ascii="宋体" w:hAnsi="宋体" w:eastAsia="宋体" w:cs="宋体"/>
                <w:b/>
                <w:color w:val="auto"/>
                <w:kern w:val="0"/>
                <w:sz w:val="21"/>
                <w:szCs w:val="21"/>
              </w:rPr>
              <w:t>（元）</w:t>
            </w:r>
          </w:p>
        </w:tc>
        <w:tc>
          <w:tcPr>
            <w:tcW w:w="976" w:type="dxa"/>
            <w:vAlign w:val="center"/>
          </w:tcPr>
          <w:p w14:paraId="45279BE8">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质保期（年）</w:t>
            </w:r>
          </w:p>
        </w:tc>
      </w:tr>
      <w:tr w14:paraId="3E16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697" w:type="dxa"/>
            <w:vAlign w:val="center"/>
          </w:tcPr>
          <w:p w14:paraId="20EF2A6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283" w:type="dxa"/>
            <w:shd w:val="clear" w:color="auto" w:fill="auto"/>
            <w:vAlign w:val="center"/>
          </w:tcPr>
          <w:p w14:paraId="282329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拆除</w:t>
            </w:r>
          </w:p>
        </w:tc>
        <w:tc>
          <w:tcPr>
            <w:tcW w:w="1699" w:type="dxa"/>
            <w:shd w:val="clear" w:color="auto" w:fill="auto"/>
            <w:vAlign w:val="center"/>
          </w:tcPr>
          <w:p w14:paraId="6F6B63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highlight w:val="none"/>
                <w:lang w:val="en-US" w:eastAsia="zh-CN" w:bidi="ar"/>
              </w:rPr>
            </w:pPr>
          </w:p>
        </w:tc>
        <w:tc>
          <w:tcPr>
            <w:tcW w:w="669" w:type="dxa"/>
            <w:vAlign w:val="center"/>
          </w:tcPr>
          <w:p w14:paraId="329551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w:t>
            </w:r>
          </w:p>
        </w:tc>
        <w:tc>
          <w:tcPr>
            <w:tcW w:w="699" w:type="dxa"/>
            <w:vAlign w:val="center"/>
          </w:tcPr>
          <w:p w14:paraId="75016F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25" w:type="dxa"/>
          </w:tcPr>
          <w:p w14:paraId="7D88879B">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000000"/>
                <w:sz w:val="21"/>
                <w:szCs w:val="21"/>
                <w:lang w:val="en-US" w:eastAsia="zh-CN"/>
              </w:rPr>
            </w:pPr>
          </w:p>
          <w:p w14:paraId="380F281D">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000000"/>
                <w:sz w:val="21"/>
                <w:szCs w:val="21"/>
                <w:lang w:val="en-US" w:eastAsia="zh-CN"/>
              </w:rPr>
            </w:pPr>
          </w:p>
          <w:p w14:paraId="4995E434">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180" w:type="dxa"/>
          </w:tcPr>
          <w:p w14:paraId="0F7FA88D">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color w:val="000000"/>
                <w:sz w:val="21"/>
                <w:szCs w:val="21"/>
                <w:lang w:val="en-US" w:eastAsia="zh-CN"/>
              </w:rPr>
            </w:pPr>
          </w:p>
        </w:tc>
        <w:tc>
          <w:tcPr>
            <w:tcW w:w="1025" w:type="dxa"/>
          </w:tcPr>
          <w:p w14:paraId="7A1172A7">
            <w:pPr>
              <w:jc w:val="center"/>
              <w:rPr>
                <w:rFonts w:hint="eastAsia" w:ascii="宋体" w:hAnsi="宋体" w:eastAsia="宋体" w:cs="宋体"/>
                <w:b/>
                <w:bCs/>
                <w:color w:val="000000"/>
                <w:sz w:val="21"/>
                <w:szCs w:val="21"/>
                <w:vertAlign w:val="baseline"/>
              </w:rPr>
            </w:pPr>
          </w:p>
        </w:tc>
        <w:tc>
          <w:tcPr>
            <w:tcW w:w="976" w:type="dxa"/>
            <w:vAlign w:val="center"/>
          </w:tcPr>
          <w:p w14:paraId="4F2F419E">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color w:val="000000"/>
                <w:sz w:val="21"/>
                <w:szCs w:val="21"/>
                <w:lang w:val="en-US" w:eastAsia="zh-CN"/>
              </w:rPr>
              <w:t>/</w:t>
            </w:r>
          </w:p>
        </w:tc>
      </w:tr>
      <w:tr w14:paraId="3581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697" w:type="dxa"/>
            <w:vAlign w:val="center"/>
          </w:tcPr>
          <w:p w14:paraId="37A405F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1283" w:type="dxa"/>
            <w:vAlign w:val="center"/>
          </w:tcPr>
          <w:p w14:paraId="10AD6650">
            <w:pPr>
              <w:widowControl/>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太阳能路灯（新立杆）</w:t>
            </w:r>
          </w:p>
          <w:p w14:paraId="16277E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sz w:val="21"/>
                <w:szCs w:val="21"/>
                <w:vertAlign w:val="baseline"/>
                <w:lang w:val="en-US" w:eastAsia="zh-CN"/>
              </w:rPr>
            </w:pPr>
          </w:p>
        </w:tc>
        <w:tc>
          <w:tcPr>
            <w:tcW w:w="1699" w:type="dxa"/>
            <w:shd w:val="clear" w:color="auto" w:fill="FFFFFF"/>
            <w:vAlign w:val="center"/>
          </w:tcPr>
          <w:p w14:paraId="2789E35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宋体" w:hAnsi="宋体" w:eastAsia="宋体" w:cs="宋体"/>
                <w:i w:val="0"/>
                <w:iCs w:val="0"/>
                <w:color w:val="000000"/>
                <w:kern w:val="2"/>
                <w:sz w:val="21"/>
                <w:szCs w:val="21"/>
                <w:highlight w:val="none"/>
                <w:u w:val="none"/>
                <w:lang w:val="en-US" w:eastAsia="zh-CN" w:bidi="ar-SA"/>
              </w:rPr>
            </w:pPr>
          </w:p>
        </w:tc>
        <w:tc>
          <w:tcPr>
            <w:tcW w:w="669" w:type="dxa"/>
            <w:vAlign w:val="center"/>
          </w:tcPr>
          <w:p w14:paraId="71A5FA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21"/>
                <w:szCs w:val="21"/>
                <w:vertAlign w:val="baseline"/>
              </w:rPr>
            </w:pPr>
            <w:r>
              <w:rPr>
                <w:rFonts w:hint="eastAsia" w:ascii="宋体" w:hAnsi="宋体" w:eastAsia="宋体" w:cs="宋体"/>
                <w:color w:val="000000"/>
                <w:sz w:val="21"/>
                <w:szCs w:val="21"/>
                <w:lang w:val="en-US" w:eastAsia="zh-CN"/>
              </w:rPr>
              <w:t>套</w:t>
            </w:r>
          </w:p>
        </w:tc>
        <w:tc>
          <w:tcPr>
            <w:tcW w:w="699" w:type="dxa"/>
            <w:vAlign w:val="center"/>
          </w:tcPr>
          <w:p w14:paraId="729022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color w:val="000000"/>
                <w:sz w:val="21"/>
                <w:szCs w:val="21"/>
                <w:lang w:val="en-US" w:eastAsia="zh-CN"/>
              </w:rPr>
              <w:t>10</w:t>
            </w:r>
          </w:p>
        </w:tc>
        <w:tc>
          <w:tcPr>
            <w:tcW w:w="1325" w:type="dxa"/>
          </w:tcPr>
          <w:p w14:paraId="43AC813A">
            <w:pPr>
              <w:jc w:val="center"/>
              <w:rPr>
                <w:rFonts w:hint="eastAsia" w:ascii="宋体" w:hAnsi="宋体" w:eastAsia="宋体" w:cs="宋体"/>
                <w:b/>
                <w:bCs/>
                <w:color w:val="000000"/>
                <w:sz w:val="21"/>
                <w:szCs w:val="21"/>
                <w:vertAlign w:val="baseline"/>
              </w:rPr>
            </w:pPr>
          </w:p>
        </w:tc>
        <w:tc>
          <w:tcPr>
            <w:tcW w:w="1180" w:type="dxa"/>
          </w:tcPr>
          <w:p w14:paraId="668BB2CD">
            <w:pPr>
              <w:jc w:val="center"/>
              <w:rPr>
                <w:rFonts w:hint="eastAsia" w:ascii="宋体" w:hAnsi="宋体" w:eastAsia="宋体" w:cs="宋体"/>
                <w:b/>
                <w:bCs/>
                <w:color w:val="000000"/>
                <w:sz w:val="21"/>
                <w:szCs w:val="21"/>
                <w:vertAlign w:val="baseline"/>
              </w:rPr>
            </w:pPr>
          </w:p>
        </w:tc>
        <w:tc>
          <w:tcPr>
            <w:tcW w:w="1025" w:type="dxa"/>
          </w:tcPr>
          <w:p w14:paraId="006D6AD6">
            <w:pPr>
              <w:jc w:val="center"/>
              <w:rPr>
                <w:rFonts w:hint="eastAsia" w:ascii="宋体" w:hAnsi="宋体" w:eastAsia="宋体" w:cs="宋体"/>
                <w:b/>
                <w:bCs/>
                <w:color w:val="000000"/>
                <w:sz w:val="21"/>
                <w:szCs w:val="21"/>
                <w:vertAlign w:val="baseline"/>
              </w:rPr>
            </w:pPr>
          </w:p>
        </w:tc>
        <w:tc>
          <w:tcPr>
            <w:tcW w:w="976" w:type="dxa"/>
          </w:tcPr>
          <w:p w14:paraId="6012A29E">
            <w:pPr>
              <w:jc w:val="center"/>
              <w:rPr>
                <w:rFonts w:hint="eastAsia" w:ascii="宋体" w:hAnsi="宋体" w:eastAsia="宋体" w:cs="宋体"/>
                <w:b/>
                <w:bCs/>
                <w:color w:val="000000"/>
                <w:sz w:val="21"/>
                <w:szCs w:val="21"/>
                <w:vertAlign w:val="baseline"/>
                <w:lang w:val="en-US" w:eastAsia="zh-CN"/>
              </w:rPr>
            </w:pPr>
          </w:p>
          <w:p w14:paraId="5C3BF956">
            <w:pPr>
              <w:jc w:val="center"/>
              <w:rPr>
                <w:rFonts w:hint="eastAsia" w:ascii="宋体" w:hAnsi="宋体" w:eastAsia="宋体" w:cs="宋体"/>
                <w:b/>
                <w:bCs/>
                <w:color w:val="000000"/>
                <w:sz w:val="21"/>
                <w:szCs w:val="21"/>
                <w:vertAlign w:val="baseline"/>
                <w:lang w:val="en-US" w:eastAsia="zh-CN"/>
              </w:rPr>
            </w:pPr>
          </w:p>
          <w:p w14:paraId="26D523EA">
            <w:pPr>
              <w:jc w:val="center"/>
              <w:rPr>
                <w:rFonts w:hint="eastAsia" w:ascii="宋体" w:hAnsi="宋体" w:eastAsia="宋体" w:cs="宋体"/>
                <w:b/>
                <w:bCs/>
                <w:color w:val="000000"/>
                <w:sz w:val="21"/>
                <w:szCs w:val="21"/>
                <w:vertAlign w:val="baseline"/>
                <w:lang w:val="en-US" w:eastAsia="zh-CN"/>
              </w:rPr>
            </w:pPr>
          </w:p>
        </w:tc>
      </w:tr>
      <w:tr w14:paraId="4C47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97" w:type="dxa"/>
            <w:vAlign w:val="center"/>
          </w:tcPr>
          <w:p w14:paraId="33547DE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1283" w:type="dxa"/>
            <w:vAlign w:val="center"/>
          </w:tcPr>
          <w:p w14:paraId="7F54FE6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太阳能路灯</w:t>
            </w:r>
          </w:p>
          <w:p w14:paraId="64486D6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（借杆）</w:t>
            </w:r>
          </w:p>
        </w:tc>
        <w:tc>
          <w:tcPr>
            <w:tcW w:w="1699" w:type="dxa"/>
            <w:shd w:val="clear" w:color="auto" w:fill="FFFFFF"/>
            <w:vAlign w:val="center"/>
          </w:tcPr>
          <w:p w14:paraId="15A1B9D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宋体" w:hAnsi="宋体" w:eastAsia="宋体" w:cs="宋体"/>
                <w:i w:val="0"/>
                <w:iCs w:val="0"/>
                <w:color w:val="000000"/>
                <w:kern w:val="2"/>
                <w:sz w:val="21"/>
                <w:szCs w:val="21"/>
                <w:highlight w:val="none"/>
                <w:u w:val="none"/>
                <w:lang w:val="en-US" w:eastAsia="zh-CN" w:bidi="ar-SA"/>
              </w:rPr>
            </w:pPr>
          </w:p>
        </w:tc>
        <w:tc>
          <w:tcPr>
            <w:tcW w:w="669" w:type="dxa"/>
            <w:vAlign w:val="center"/>
          </w:tcPr>
          <w:p w14:paraId="23B896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套</w:t>
            </w:r>
          </w:p>
        </w:tc>
        <w:tc>
          <w:tcPr>
            <w:tcW w:w="699" w:type="dxa"/>
            <w:vAlign w:val="center"/>
          </w:tcPr>
          <w:p w14:paraId="54095E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416</w:t>
            </w:r>
          </w:p>
        </w:tc>
        <w:tc>
          <w:tcPr>
            <w:tcW w:w="1325" w:type="dxa"/>
          </w:tcPr>
          <w:p w14:paraId="63717222">
            <w:pPr>
              <w:jc w:val="center"/>
              <w:rPr>
                <w:rFonts w:hint="eastAsia" w:ascii="宋体" w:hAnsi="宋体" w:eastAsia="宋体" w:cs="宋体"/>
                <w:b/>
                <w:bCs/>
                <w:color w:val="000000"/>
                <w:sz w:val="21"/>
                <w:szCs w:val="21"/>
                <w:vertAlign w:val="baseline"/>
              </w:rPr>
            </w:pPr>
          </w:p>
        </w:tc>
        <w:tc>
          <w:tcPr>
            <w:tcW w:w="1180" w:type="dxa"/>
          </w:tcPr>
          <w:p w14:paraId="5E39AA6A">
            <w:pPr>
              <w:jc w:val="center"/>
              <w:rPr>
                <w:rFonts w:hint="eastAsia" w:ascii="宋体" w:hAnsi="宋体" w:eastAsia="宋体" w:cs="宋体"/>
                <w:b/>
                <w:bCs/>
                <w:color w:val="000000"/>
                <w:sz w:val="21"/>
                <w:szCs w:val="21"/>
                <w:vertAlign w:val="baseline"/>
              </w:rPr>
            </w:pPr>
          </w:p>
        </w:tc>
        <w:tc>
          <w:tcPr>
            <w:tcW w:w="1025" w:type="dxa"/>
          </w:tcPr>
          <w:p w14:paraId="3DB56074">
            <w:pPr>
              <w:jc w:val="center"/>
              <w:rPr>
                <w:rFonts w:hint="eastAsia" w:ascii="宋体" w:hAnsi="宋体" w:eastAsia="宋体" w:cs="宋体"/>
                <w:b/>
                <w:bCs/>
                <w:color w:val="000000"/>
                <w:sz w:val="21"/>
                <w:szCs w:val="21"/>
                <w:vertAlign w:val="baseline"/>
              </w:rPr>
            </w:pPr>
          </w:p>
        </w:tc>
        <w:tc>
          <w:tcPr>
            <w:tcW w:w="976" w:type="dxa"/>
          </w:tcPr>
          <w:p w14:paraId="3C3636E7">
            <w:pPr>
              <w:jc w:val="center"/>
              <w:rPr>
                <w:rFonts w:hint="eastAsia" w:ascii="宋体" w:hAnsi="宋体" w:eastAsia="宋体" w:cs="宋体"/>
                <w:b/>
                <w:bCs/>
                <w:color w:val="000000"/>
                <w:sz w:val="21"/>
                <w:szCs w:val="21"/>
                <w:vertAlign w:val="baseline"/>
                <w:lang w:val="en-US" w:eastAsia="zh-CN"/>
              </w:rPr>
            </w:pPr>
          </w:p>
        </w:tc>
      </w:tr>
      <w:tr w14:paraId="6AB9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97" w:type="dxa"/>
            <w:vAlign w:val="center"/>
          </w:tcPr>
          <w:p w14:paraId="3EE58391">
            <w:pPr>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kern w:val="0"/>
                <w:sz w:val="21"/>
                <w:szCs w:val="21"/>
                <w:lang w:val="en-US" w:eastAsia="zh-CN"/>
              </w:rPr>
              <w:t>总计</w:t>
            </w:r>
          </w:p>
        </w:tc>
        <w:tc>
          <w:tcPr>
            <w:tcW w:w="8856" w:type="dxa"/>
            <w:gridSpan w:val="8"/>
            <w:vAlign w:val="bottom"/>
          </w:tcPr>
          <w:p w14:paraId="3FA0D41B">
            <w:pPr>
              <w:jc w:val="both"/>
              <w:rPr>
                <w:rFonts w:hint="default" w:ascii="宋体" w:hAnsi="宋体" w:eastAsia="宋体" w:cs="宋体"/>
                <w:b/>
                <w:bCs/>
                <w:color w:val="000000"/>
                <w:kern w:val="0"/>
                <w:sz w:val="21"/>
                <w:szCs w:val="21"/>
                <w:u w:val="single"/>
                <w:lang w:val="en-US" w:eastAsia="zh-CN"/>
              </w:rPr>
            </w:pPr>
            <w:r>
              <w:rPr>
                <w:rFonts w:hint="eastAsia" w:ascii="宋体" w:hAnsi="宋体" w:eastAsia="宋体" w:cs="宋体"/>
                <w:b/>
                <w:bCs/>
                <w:color w:val="000000"/>
                <w:kern w:val="0"/>
                <w:sz w:val="21"/>
                <w:szCs w:val="21"/>
                <w:lang w:val="en-US" w:eastAsia="zh-CN"/>
              </w:rPr>
              <w:t>大写：</w:t>
            </w:r>
            <w:r>
              <w:rPr>
                <w:rFonts w:hint="eastAsia" w:ascii="宋体" w:hAnsi="宋体" w:eastAsia="宋体" w:cs="宋体"/>
                <w:b/>
                <w:bCs/>
                <w:color w:val="000000"/>
                <w:kern w:val="0"/>
                <w:sz w:val="21"/>
                <w:szCs w:val="21"/>
                <w:u w:val="single"/>
                <w:lang w:val="en-US" w:eastAsia="zh-CN"/>
              </w:rPr>
              <w:t xml:space="preserve">                          </w:t>
            </w:r>
            <w:r>
              <w:rPr>
                <w:rFonts w:hint="eastAsia" w:ascii="宋体" w:hAnsi="宋体" w:eastAsia="宋体" w:cs="宋体"/>
                <w:b/>
                <w:bCs/>
                <w:color w:val="000000"/>
                <w:kern w:val="0"/>
                <w:sz w:val="21"/>
                <w:szCs w:val="21"/>
                <w:lang w:val="en-US" w:eastAsia="zh-CN"/>
              </w:rPr>
              <w:t xml:space="preserve">  小写：</w:t>
            </w:r>
            <w:r>
              <w:rPr>
                <w:rFonts w:hint="eastAsia" w:ascii="宋体" w:hAnsi="宋体" w:eastAsia="宋体" w:cs="宋体"/>
                <w:b/>
                <w:bCs/>
                <w:color w:val="000000"/>
                <w:kern w:val="0"/>
                <w:sz w:val="21"/>
                <w:szCs w:val="21"/>
                <w:u w:val="single"/>
                <w:lang w:val="en-US" w:eastAsia="zh-CN"/>
              </w:rPr>
              <w:t xml:space="preserve">          </w:t>
            </w:r>
            <w:r>
              <w:rPr>
                <w:rFonts w:hint="eastAsia" w:ascii="宋体" w:hAnsi="宋体" w:eastAsia="宋体" w:cs="宋体"/>
                <w:b/>
                <w:bCs/>
                <w:color w:val="000000"/>
                <w:kern w:val="0"/>
                <w:sz w:val="21"/>
                <w:szCs w:val="21"/>
                <w:u w:val="none"/>
                <w:lang w:val="en-US" w:eastAsia="zh-CN"/>
              </w:rPr>
              <w:t xml:space="preserve"> 元</w:t>
            </w:r>
          </w:p>
        </w:tc>
      </w:tr>
    </w:tbl>
    <w:p w14:paraId="41C6F3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b/>
          <w:bCs/>
          <w:color w:val="000000" w:themeColor="text1"/>
          <w:kern w:val="0"/>
          <w:sz w:val="21"/>
          <w:szCs w:val="21"/>
          <w:lang w:val="en-US" w:eastAsia="zh-CN"/>
          <w14:textFill>
            <w14:solidFill>
              <w14:schemeClr w14:val="tx1"/>
            </w14:solidFill>
          </w14:textFill>
        </w:rPr>
      </w:pPr>
      <w:r>
        <w:rPr>
          <w:rFonts w:hint="eastAsia" w:ascii="宋体" w:hAnsi="宋体" w:eastAsia="宋体"/>
          <w:b/>
          <w:bCs/>
          <w:color w:val="000000" w:themeColor="text1"/>
          <w:kern w:val="0"/>
          <w:sz w:val="21"/>
          <w:szCs w:val="21"/>
          <w:lang w:val="en-US" w:eastAsia="zh-CN"/>
          <w14:textFill>
            <w14:solidFill>
              <w14:schemeClr w14:val="tx1"/>
            </w14:solidFill>
          </w14:textFill>
        </w:rPr>
        <w:t>注：</w:t>
      </w:r>
    </w:p>
    <w:p w14:paraId="739221E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b/>
          <w:bCs/>
          <w:color w:val="000000" w:themeColor="text1"/>
          <w:kern w:val="0"/>
          <w:sz w:val="21"/>
          <w:szCs w:val="21"/>
          <w:lang w:val="en-US" w:eastAsia="zh-CN"/>
          <w14:textFill>
            <w14:solidFill>
              <w14:schemeClr w14:val="tx1"/>
            </w14:solidFill>
          </w14:textFill>
        </w:rPr>
      </w:pPr>
      <w:r>
        <w:rPr>
          <w:rFonts w:hint="eastAsia" w:ascii="宋体" w:hAnsi="宋体"/>
          <w:b/>
          <w:bCs/>
          <w:color w:val="000000" w:themeColor="text1"/>
          <w:kern w:val="0"/>
          <w:sz w:val="21"/>
          <w:szCs w:val="21"/>
          <w:lang w:val="en-US" w:eastAsia="zh-CN"/>
          <w14:textFill>
            <w14:solidFill>
              <w14:schemeClr w14:val="tx1"/>
            </w14:solidFill>
          </w14:textFill>
        </w:rPr>
        <w:t>1.</w:t>
      </w:r>
      <w:r>
        <w:rPr>
          <w:rFonts w:hint="eastAsia" w:ascii="宋体" w:hAnsi="宋体" w:eastAsia="宋体"/>
          <w:b/>
          <w:bCs/>
          <w:color w:val="000000" w:themeColor="text1"/>
          <w:kern w:val="0"/>
          <w:sz w:val="21"/>
          <w:szCs w:val="21"/>
          <w:lang w:val="en-US" w:eastAsia="zh-CN"/>
          <w14:textFill>
            <w14:solidFill>
              <w14:schemeClr w14:val="tx1"/>
            </w14:solidFill>
          </w14:textFill>
        </w:rPr>
        <w:t>本报价表须机打并加盖报价单位公章，手填无效。所有涉及报价的页面均须加盖单位公章，否则视为无效报价。</w:t>
      </w:r>
    </w:p>
    <w:p w14:paraId="5E48EF4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b/>
          <w:bCs/>
          <w:color w:val="000000"/>
          <w:kern w:val="0"/>
          <w:sz w:val="21"/>
          <w:szCs w:val="21"/>
          <w:lang w:val="en-US" w:eastAsia="zh-CN"/>
        </w:rPr>
      </w:pPr>
      <w:r>
        <w:rPr>
          <w:rFonts w:hint="eastAsia" w:ascii="宋体" w:hAnsi="宋体"/>
          <w:b/>
          <w:bCs/>
          <w:color w:val="000000" w:themeColor="text1"/>
          <w:kern w:val="0"/>
          <w:sz w:val="21"/>
          <w:szCs w:val="21"/>
          <w:lang w:val="en-US" w:eastAsia="zh-CN"/>
          <w14:textFill>
            <w14:solidFill>
              <w14:schemeClr w14:val="tx1"/>
            </w14:solidFill>
          </w14:textFill>
        </w:rPr>
        <w:t>2.本报价表后附其他相关材料。</w:t>
      </w:r>
    </w:p>
    <w:p w14:paraId="09D95D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b/>
          <w:bCs/>
          <w:color w:val="000000"/>
          <w:kern w:val="0"/>
          <w:sz w:val="24"/>
          <w:szCs w:val="24"/>
          <w:lang w:val="en-US" w:eastAsia="zh-CN"/>
        </w:rPr>
      </w:pPr>
    </w:p>
    <w:p w14:paraId="4E911C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b/>
          <w:bCs/>
          <w:color w:val="000000"/>
          <w:kern w:val="0"/>
          <w:sz w:val="24"/>
          <w:szCs w:val="24"/>
          <w:lang w:val="en-US" w:eastAsia="zh-CN"/>
        </w:rPr>
      </w:pPr>
    </w:p>
    <w:p w14:paraId="454DEE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 xml:space="preserve">报价单位（盖章）：           </w:t>
      </w:r>
    </w:p>
    <w:p w14:paraId="3F5528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 xml:space="preserve">联 系 人：        </w:t>
      </w:r>
    </w:p>
    <w:p w14:paraId="094D9A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联系电话：</w:t>
      </w:r>
      <w:r>
        <w:rPr>
          <w:rFonts w:hint="eastAsia" w:ascii="宋体" w:hAnsi="宋体" w:eastAsia="宋体"/>
          <w:b/>
          <w:bCs/>
          <w:color w:val="000000"/>
          <w:kern w:val="0"/>
          <w:sz w:val="24"/>
          <w:szCs w:val="24"/>
          <w:lang w:val="en-US" w:eastAsia="zh-CN"/>
        </w:rPr>
        <w:tab/>
      </w:r>
    </w:p>
    <w:p w14:paraId="20EA22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日    期：     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ew Baskerville">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A1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F329CA">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2EF329C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GMwYWU0MTQ5MjNjMjk5ZTFhM2U5ZTZmNzRkYWYifQ=="/>
  </w:docVars>
  <w:rsids>
    <w:rsidRoot w:val="00000000"/>
    <w:rsid w:val="00060C6A"/>
    <w:rsid w:val="00481283"/>
    <w:rsid w:val="004C0647"/>
    <w:rsid w:val="005D4603"/>
    <w:rsid w:val="008B5614"/>
    <w:rsid w:val="0156177E"/>
    <w:rsid w:val="01FE5971"/>
    <w:rsid w:val="032558AB"/>
    <w:rsid w:val="034A3564"/>
    <w:rsid w:val="03653EFA"/>
    <w:rsid w:val="03CF75C5"/>
    <w:rsid w:val="03F94CDD"/>
    <w:rsid w:val="04117BDE"/>
    <w:rsid w:val="041D42E4"/>
    <w:rsid w:val="04297B18"/>
    <w:rsid w:val="04536448"/>
    <w:rsid w:val="04B1084F"/>
    <w:rsid w:val="05080FE1"/>
    <w:rsid w:val="05107934"/>
    <w:rsid w:val="055C30DB"/>
    <w:rsid w:val="057B562E"/>
    <w:rsid w:val="05887005"/>
    <w:rsid w:val="05C14C3D"/>
    <w:rsid w:val="05F96B7B"/>
    <w:rsid w:val="068B011B"/>
    <w:rsid w:val="071F1E19"/>
    <w:rsid w:val="072A7934"/>
    <w:rsid w:val="072B545A"/>
    <w:rsid w:val="07577FFE"/>
    <w:rsid w:val="0765096C"/>
    <w:rsid w:val="076F3599"/>
    <w:rsid w:val="077611A1"/>
    <w:rsid w:val="07794418"/>
    <w:rsid w:val="07944DAE"/>
    <w:rsid w:val="07BC2556"/>
    <w:rsid w:val="081859DF"/>
    <w:rsid w:val="08A52FEB"/>
    <w:rsid w:val="08BB280E"/>
    <w:rsid w:val="09C44AB1"/>
    <w:rsid w:val="09ED2E9B"/>
    <w:rsid w:val="0A037FC9"/>
    <w:rsid w:val="0A4725AB"/>
    <w:rsid w:val="0A6A629A"/>
    <w:rsid w:val="0B1A3A0F"/>
    <w:rsid w:val="0B3A5C6C"/>
    <w:rsid w:val="0BB7585C"/>
    <w:rsid w:val="0BBE61E5"/>
    <w:rsid w:val="0BC55E7E"/>
    <w:rsid w:val="0BE004D6"/>
    <w:rsid w:val="0C5E598A"/>
    <w:rsid w:val="0CA746F4"/>
    <w:rsid w:val="0CAA6E21"/>
    <w:rsid w:val="0CDB347F"/>
    <w:rsid w:val="0CF83480"/>
    <w:rsid w:val="0D9D70D4"/>
    <w:rsid w:val="0E2F5830"/>
    <w:rsid w:val="0E5B02BF"/>
    <w:rsid w:val="0F5B2655"/>
    <w:rsid w:val="0F683166"/>
    <w:rsid w:val="0F986232"/>
    <w:rsid w:val="0FB06655"/>
    <w:rsid w:val="102E201C"/>
    <w:rsid w:val="108C7199"/>
    <w:rsid w:val="10D64689"/>
    <w:rsid w:val="10EA3C90"/>
    <w:rsid w:val="110E5BD1"/>
    <w:rsid w:val="11592BC4"/>
    <w:rsid w:val="11895257"/>
    <w:rsid w:val="1198193E"/>
    <w:rsid w:val="11A04D7E"/>
    <w:rsid w:val="11E82CE9"/>
    <w:rsid w:val="121F3E0E"/>
    <w:rsid w:val="124C0DF9"/>
    <w:rsid w:val="12684CE3"/>
    <w:rsid w:val="13586242"/>
    <w:rsid w:val="13763F01"/>
    <w:rsid w:val="139879D4"/>
    <w:rsid w:val="13BD568C"/>
    <w:rsid w:val="13CD1DFA"/>
    <w:rsid w:val="14142002"/>
    <w:rsid w:val="147C10A3"/>
    <w:rsid w:val="150A2B53"/>
    <w:rsid w:val="15C26F8A"/>
    <w:rsid w:val="15D87D38"/>
    <w:rsid w:val="16204EE7"/>
    <w:rsid w:val="169F72CB"/>
    <w:rsid w:val="17982698"/>
    <w:rsid w:val="17BF2904"/>
    <w:rsid w:val="17E05DED"/>
    <w:rsid w:val="182A4CFD"/>
    <w:rsid w:val="185760AF"/>
    <w:rsid w:val="18972950"/>
    <w:rsid w:val="18B90B18"/>
    <w:rsid w:val="18CD45C3"/>
    <w:rsid w:val="18CD4F1B"/>
    <w:rsid w:val="1912647A"/>
    <w:rsid w:val="195F09D5"/>
    <w:rsid w:val="19A93801"/>
    <w:rsid w:val="1A02204B"/>
    <w:rsid w:val="1A5358A1"/>
    <w:rsid w:val="1A670100"/>
    <w:rsid w:val="1AA55605"/>
    <w:rsid w:val="1AC64482"/>
    <w:rsid w:val="1AC92B69"/>
    <w:rsid w:val="1AEE25CF"/>
    <w:rsid w:val="1AFC4CEC"/>
    <w:rsid w:val="1B3A5AA4"/>
    <w:rsid w:val="1B99253B"/>
    <w:rsid w:val="1BE7774A"/>
    <w:rsid w:val="1CDF6673"/>
    <w:rsid w:val="1E220F0E"/>
    <w:rsid w:val="1EA04A65"/>
    <w:rsid w:val="1EA71413"/>
    <w:rsid w:val="1EB15DEE"/>
    <w:rsid w:val="1F0C74C8"/>
    <w:rsid w:val="1F460C2C"/>
    <w:rsid w:val="1F6B0692"/>
    <w:rsid w:val="20531852"/>
    <w:rsid w:val="205D7D1A"/>
    <w:rsid w:val="21112456"/>
    <w:rsid w:val="21A352F4"/>
    <w:rsid w:val="22183599"/>
    <w:rsid w:val="22857CBD"/>
    <w:rsid w:val="228B5B84"/>
    <w:rsid w:val="228D0920"/>
    <w:rsid w:val="2295268E"/>
    <w:rsid w:val="22F4099F"/>
    <w:rsid w:val="231F3A1A"/>
    <w:rsid w:val="236C49D9"/>
    <w:rsid w:val="23A10B26"/>
    <w:rsid w:val="23AD1279"/>
    <w:rsid w:val="23B1063E"/>
    <w:rsid w:val="23CB16FF"/>
    <w:rsid w:val="23D5257E"/>
    <w:rsid w:val="240D7F6A"/>
    <w:rsid w:val="242F7EE0"/>
    <w:rsid w:val="24351427"/>
    <w:rsid w:val="2483647E"/>
    <w:rsid w:val="256F1D62"/>
    <w:rsid w:val="25B066F6"/>
    <w:rsid w:val="26676E72"/>
    <w:rsid w:val="26753BA5"/>
    <w:rsid w:val="26E50D2A"/>
    <w:rsid w:val="27E56EF9"/>
    <w:rsid w:val="284E0B51"/>
    <w:rsid w:val="289533C0"/>
    <w:rsid w:val="28CE5A0A"/>
    <w:rsid w:val="28D06C45"/>
    <w:rsid w:val="28ED236C"/>
    <w:rsid w:val="29804D3A"/>
    <w:rsid w:val="29BF5862"/>
    <w:rsid w:val="2A4C2BDF"/>
    <w:rsid w:val="2A5C2CCF"/>
    <w:rsid w:val="2B406E77"/>
    <w:rsid w:val="2B6109B1"/>
    <w:rsid w:val="2CD5539D"/>
    <w:rsid w:val="2CE83322"/>
    <w:rsid w:val="2D004ED6"/>
    <w:rsid w:val="2D0363AE"/>
    <w:rsid w:val="2D8D6D6F"/>
    <w:rsid w:val="2DA46F1E"/>
    <w:rsid w:val="2E383E35"/>
    <w:rsid w:val="2E431D9A"/>
    <w:rsid w:val="2E494E75"/>
    <w:rsid w:val="2E5114D0"/>
    <w:rsid w:val="2E9B6172"/>
    <w:rsid w:val="2EFC3AB9"/>
    <w:rsid w:val="2F000DF7"/>
    <w:rsid w:val="2F48454C"/>
    <w:rsid w:val="2F6B1FE9"/>
    <w:rsid w:val="2F9B467C"/>
    <w:rsid w:val="2FE204FD"/>
    <w:rsid w:val="303D36C4"/>
    <w:rsid w:val="304A7E50"/>
    <w:rsid w:val="30670A02"/>
    <w:rsid w:val="307D6477"/>
    <w:rsid w:val="30801AC4"/>
    <w:rsid w:val="30937A49"/>
    <w:rsid w:val="30F54260"/>
    <w:rsid w:val="318D5F0C"/>
    <w:rsid w:val="31FB4569"/>
    <w:rsid w:val="3244724D"/>
    <w:rsid w:val="328E671A"/>
    <w:rsid w:val="339A10EE"/>
    <w:rsid w:val="33A20C18"/>
    <w:rsid w:val="33AA1331"/>
    <w:rsid w:val="33EA5BD2"/>
    <w:rsid w:val="346F60D7"/>
    <w:rsid w:val="34736881"/>
    <w:rsid w:val="34B31B60"/>
    <w:rsid w:val="35192EC2"/>
    <w:rsid w:val="355E6877"/>
    <w:rsid w:val="356279EA"/>
    <w:rsid w:val="359F479A"/>
    <w:rsid w:val="35AA386B"/>
    <w:rsid w:val="369F7DF7"/>
    <w:rsid w:val="36BA0B24"/>
    <w:rsid w:val="36EC1C61"/>
    <w:rsid w:val="37054AD1"/>
    <w:rsid w:val="37AB5678"/>
    <w:rsid w:val="37B565B2"/>
    <w:rsid w:val="37C80031"/>
    <w:rsid w:val="38044B88"/>
    <w:rsid w:val="38806B05"/>
    <w:rsid w:val="38BB7B3D"/>
    <w:rsid w:val="38D97FC3"/>
    <w:rsid w:val="38F941A4"/>
    <w:rsid w:val="39112318"/>
    <w:rsid w:val="39406294"/>
    <w:rsid w:val="394878BA"/>
    <w:rsid w:val="3962620A"/>
    <w:rsid w:val="397F0B6A"/>
    <w:rsid w:val="39A46823"/>
    <w:rsid w:val="3A3A0F35"/>
    <w:rsid w:val="3A3D7EDC"/>
    <w:rsid w:val="3A464351"/>
    <w:rsid w:val="3AC23BAE"/>
    <w:rsid w:val="3ACE07FD"/>
    <w:rsid w:val="3AF9494C"/>
    <w:rsid w:val="3C1D466B"/>
    <w:rsid w:val="3C3C0F95"/>
    <w:rsid w:val="3C6D114E"/>
    <w:rsid w:val="3C720E5A"/>
    <w:rsid w:val="3C77021F"/>
    <w:rsid w:val="3DBD6105"/>
    <w:rsid w:val="3DC23CD2"/>
    <w:rsid w:val="3FBA57AE"/>
    <w:rsid w:val="3FF102E8"/>
    <w:rsid w:val="406F68CD"/>
    <w:rsid w:val="40890521"/>
    <w:rsid w:val="40A435AC"/>
    <w:rsid w:val="41A27AEC"/>
    <w:rsid w:val="41AB7285"/>
    <w:rsid w:val="41BD66D4"/>
    <w:rsid w:val="42264FBB"/>
    <w:rsid w:val="42E3216A"/>
    <w:rsid w:val="42EB101F"/>
    <w:rsid w:val="42FB5880"/>
    <w:rsid w:val="44250560"/>
    <w:rsid w:val="44563DFB"/>
    <w:rsid w:val="45462E84"/>
    <w:rsid w:val="457111A0"/>
    <w:rsid w:val="45790B64"/>
    <w:rsid w:val="45A7579D"/>
    <w:rsid w:val="45B1654F"/>
    <w:rsid w:val="45DD2134"/>
    <w:rsid w:val="46B837C8"/>
    <w:rsid w:val="46DD7A39"/>
    <w:rsid w:val="46FD7572"/>
    <w:rsid w:val="47A3636C"/>
    <w:rsid w:val="47BC742D"/>
    <w:rsid w:val="47FE17F4"/>
    <w:rsid w:val="480F5A36"/>
    <w:rsid w:val="487D2E9C"/>
    <w:rsid w:val="48BB79BB"/>
    <w:rsid w:val="48F7696F"/>
    <w:rsid w:val="49303C2F"/>
    <w:rsid w:val="49496A9F"/>
    <w:rsid w:val="49755AE6"/>
    <w:rsid w:val="49840438"/>
    <w:rsid w:val="49A308A5"/>
    <w:rsid w:val="4A1C53BF"/>
    <w:rsid w:val="4A4E67FA"/>
    <w:rsid w:val="4A4F6337"/>
    <w:rsid w:val="4A69564B"/>
    <w:rsid w:val="4A7465C4"/>
    <w:rsid w:val="4A897A9B"/>
    <w:rsid w:val="4AAC19DB"/>
    <w:rsid w:val="4AD93E52"/>
    <w:rsid w:val="4AE5123C"/>
    <w:rsid w:val="4B885FA4"/>
    <w:rsid w:val="4BB24DCF"/>
    <w:rsid w:val="4C17004E"/>
    <w:rsid w:val="4C1E4213"/>
    <w:rsid w:val="4C651E42"/>
    <w:rsid w:val="4C7B10AA"/>
    <w:rsid w:val="4CCE58CF"/>
    <w:rsid w:val="4D0E072B"/>
    <w:rsid w:val="4E754349"/>
    <w:rsid w:val="4F22226C"/>
    <w:rsid w:val="4F2F145C"/>
    <w:rsid w:val="4F522B51"/>
    <w:rsid w:val="4F8E7901"/>
    <w:rsid w:val="4FA64C4B"/>
    <w:rsid w:val="4FB8497E"/>
    <w:rsid w:val="4FCC3F86"/>
    <w:rsid w:val="4FFA6D45"/>
    <w:rsid w:val="5059663C"/>
    <w:rsid w:val="506643DA"/>
    <w:rsid w:val="50782506"/>
    <w:rsid w:val="51907961"/>
    <w:rsid w:val="519B6306"/>
    <w:rsid w:val="51E25CE3"/>
    <w:rsid w:val="520C46A8"/>
    <w:rsid w:val="524A1938"/>
    <w:rsid w:val="530C5752"/>
    <w:rsid w:val="53227B62"/>
    <w:rsid w:val="53A45945"/>
    <w:rsid w:val="53BB4A3D"/>
    <w:rsid w:val="53D855EF"/>
    <w:rsid w:val="53DF072C"/>
    <w:rsid w:val="53E126F6"/>
    <w:rsid w:val="5445799A"/>
    <w:rsid w:val="54A61249"/>
    <w:rsid w:val="54B94AEC"/>
    <w:rsid w:val="54E81862"/>
    <w:rsid w:val="5531510A"/>
    <w:rsid w:val="55361378"/>
    <w:rsid w:val="5560566C"/>
    <w:rsid w:val="55EC35D4"/>
    <w:rsid w:val="561A1EEF"/>
    <w:rsid w:val="56B51C18"/>
    <w:rsid w:val="56F52014"/>
    <w:rsid w:val="571E769A"/>
    <w:rsid w:val="57405985"/>
    <w:rsid w:val="57421F9C"/>
    <w:rsid w:val="579E2C52"/>
    <w:rsid w:val="57B679F5"/>
    <w:rsid w:val="585B234B"/>
    <w:rsid w:val="58660B1F"/>
    <w:rsid w:val="58F5279F"/>
    <w:rsid w:val="594A3F21"/>
    <w:rsid w:val="59A52A9C"/>
    <w:rsid w:val="59BE1042"/>
    <w:rsid w:val="59E533C1"/>
    <w:rsid w:val="5A115278"/>
    <w:rsid w:val="5A1D3D5C"/>
    <w:rsid w:val="5A3572F7"/>
    <w:rsid w:val="5A6000EC"/>
    <w:rsid w:val="5C394E4E"/>
    <w:rsid w:val="5C9B540C"/>
    <w:rsid w:val="5CB36BF9"/>
    <w:rsid w:val="5CB84210"/>
    <w:rsid w:val="5CD75CB0"/>
    <w:rsid w:val="5CEE5E83"/>
    <w:rsid w:val="5D4F6451"/>
    <w:rsid w:val="5D5061F6"/>
    <w:rsid w:val="5D557395"/>
    <w:rsid w:val="5D5E4DB7"/>
    <w:rsid w:val="5E9B41B1"/>
    <w:rsid w:val="5EF332DD"/>
    <w:rsid w:val="5F246EF0"/>
    <w:rsid w:val="5F6366B5"/>
    <w:rsid w:val="5FE377F5"/>
    <w:rsid w:val="60652FF7"/>
    <w:rsid w:val="61A22D98"/>
    <w:rsid w:val="61D75138"/>
    <w:rsid w:val="61FF370F"/>
    <w:rsid w:val="62134E52"/>
    <w:rsid w:val="62913539"/>
    <w:rsid w:val="62BF19C5"/>
    <w:rsid w:val="62E713AB"/>
    <w:rsid w:val="63357D8B"/>
    <w:rsid w:val="633F4EB4"/>
    <w:rsid w:val="6353510B"/>
    <w:rsid w:val="63E44B2A"/>
    <w:rsid w:val="642B52C7"/>
    <w:rsid w:val="64373C6C"/>
    <w:rsid w:val="64444E34"/>
    <w:rsid w:val="646242FB"/>
    <w:rsid w:val="649410BE"/>
    <w:rsid w:val="64A31E77"/>
    <w:rsid w:val="64B051F1"/>
    <w:rsid w:val="64CC0858"/>
    <w:rsid w:val="6518584B"/>
    <w:rsid w:val="65434531"/>
    <w:rsid w:val="654F3237"/>
    <w:rsid w:val="655820EC"/>
    <w:rsid w:val="65961181"/>
    <w:rsid w:val="65A33782"/>
    <w:rsid w:val="65A921FF"/>
    <w:rsid w:val="65ED6CD8"/>
    <w:rsid w:val="660E4009"/>
    <w:rsid w:val="661F5464"/>
    <w:rsid w:val="668272FA"/>
    <w:rsid w:val="66CA526B"/>
    <w:rsid w:val="66D954AE"/>
    <w:rsid w:val="673D5A3D"/>
    <w:rsid w:val="675839F8"/>
    <w:rsid w:val="67A1421E"/>
    <w:rsid w:val="69456E2B"/>
    <w:rsid w:val="69790883"/>
    <w:rsid w:val="6A462E5B"/>
    <w:rsid w:val="6A6257BB"/>
    <w:rsid w:val="6A710359"/>
    <w:rsid w:val="6AE01FA6"/>
    <w:rsid w:val="6AFC36A5"/>
    <w:rsid w:val="6B040620"/>
    <w:rsid w:val="6B0A20DA"/>
    <w:rsid w:val="6B5C045C"/>
    <w:rsid w:val="6B6E2157"/>
    <w:rsid w:val="6B7C2964"/>
    <w:rsid w:val="6B802775"/>
    <w:rsid w:val="6B9419A4"/>
    <w:rsid w:val="6BB43DF4"/>
    <w:rsid w:val="6BBF5037"/>
    <w:rsid w:val="6C271881"/>
    <w:rsid w:val="6C303DC2"/>
    <w:rsid w:val="6CBC5656"/>
    <w:rsid w:val="6CFC1EF7"/>
    <w:rsid w:val="6D48513C"/>
    <w:rsid w:val="6D7970A3"/>
    <w:rsid w:val="6DB662A4"/>
    <w:rsid w:val="6E0A3392"/>
    <w:rsid w:val="6E216668"/>
    <w:rsid w:val="6EBA7973"/>
    <w:rsid w:val="6EBD7464"/>
    <w:rsid w:val="6ED07197"/>
    <w:rsid w:val="6EE60768"/>
    <w:rsid w:val="6F274A12"/>
    <w:rsid w:val="6F2B31C9"/>
    <w:rsid w:val="6F6E5DAA"/>
    <w:rsid w:val="6F800F2B"/>
    <w:rsid w:val="6FDE58E3"/>
    <w:rsid w:val="7020414E"/>
    <w:rsid w:val="71066EA0"/>
    <w:rsid w:val="71121CE9"/>
    <w:rsid w:val="71A02B3D"/>
    <w:rsid w:val="71A130D0"/>
    <w:rsid w:val="71CF1988"/>
    <w:rsid w:val="71F66F14"/>
    <w:rsid w:val="72062ED0"/>
    <w:rsid w:val="72203F91"/>
    <w:rsid w:val="722B795D"/>
    <w:rsid w:val="729A01E8"/>
    <w:rsid w:val="72BE189F"/>
    <w:rsid w:val="72D27981"/>
    <w:rsid w:val="72FD2525"/>
    <w:rsid w:val="737A1DC7"/>
    <w:rsid w:val="74406B6D"/>
    <w:rsid w:val="745772FC"/>
    <w:rsid w:val="74956EB9"/>
    <w:rsid w:val="749B0247"/>
    <w:rsid w:val="74AF784E"/>
    <w:rsid w:val="74EB4D2A"/>
    <w:rsid w:val="74FA6600"/>
    <w:rsid w:val="75103B1A"/>
    <w:rsid w:val="7544443B"/>
    <w:rsid w:val="756334EE"/>
    <w:rsid w:val="756B7DBE"/>
    <w:rsid w:val="75874327"/>
    <w:rsid w:val="76544B51"/>
    <w:rsid w:val="76A50F09"/>
    <w:rsid w:val="76E80284"/>
    <w:rsid w:val="77597EB6"/>
    <w:rsid w:val="779C29C1"/>
    <w:rsid w:val="77A613DD"/>
    <w:rsid w:val="77B238DE"/>
    <w:rsid w:val="77D575CC"/>
    <w:rsid w:val="78CF4963"/>
    <w:rsid w:val="78FE57AF"/>
    <w:rsid w:val="79336F70"/>
    <w:rsid w:val="797572B9"/>
    <w:rsid w:val="799F7E92"/>
    <w:rsid w:val="79E65AC0"/>
    <w:rsid w:val="7A416D33"/>
    <w:rsid w:val="7A6115EB"/>
    <w:rsid w:val="7B0F787D"/>
    <w:rsid w:val="7B5D588D"/>
    <w:rsid w:val="7B8437E3"/>
    <w:rsid w:val="7B912423"/>
    <w:rsid w:val="7B95154C"/>
    <w:rsid w:val="7BF32717"/>
    <w:rsid w:val="7C0E12FE"/>
    <w:rsid w:val="7C2D3E7B"/>
    <w:rsid w:val="7C52568F"/>
    <w:rsid w:val="7CAF4A3A"/>
    <w:rsid w:val="7CBB3234"/>
    <w:rsid w:val="7D1A770C"/>
    <w:rsid w:val="7DB81743"/>
    <w:rsid w:val="7E0E662D"/>
    <w:rsid w:val="7E5F4018"/>
    <w:rsid w:val="7EA128FE"/>
    <w:rsid w:val="7F8848D0"/>
    <w:rsid w:val="7FD308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kern w:val="0"/>
      <w:sz w:val="24"/>
      <w:szCs w:val="20"/>
    </w:rPr>
  </w:style>
  <w:style w:type="paragraph" w:styleId="3">
    <w:name w:val="Body Text Indent"/>
    <w:basedOn w:val="1"/>
    <w:autoRedefine/>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qFormat/>
    <w:uiPriority w:val="99"/>
    <w:pPr>
      <w:ind w:firstLine="420" w:firstLineChars="100"/>
    </w:pPr>
    <w:rPr>
      <w:kern w:val="0"/>
      <w:sz w:val="24"/>
    </w:rPr>
  </w:style>
  <w:style w:type="paragraph" w:styleId="8">
    <w:name w:val="Body Text First Indent 2"/>
    <w:basedOn w:val="3"/>
    <w:autoRedefine/>
    <w:qFormat/>
    <w:uiPriority w:val="0"/>
    <w:pPr>
      <w:ind w:left="765" w:leftChars="0" w:firstLine="200" w:firstLineChars="200"/>
    </w:pPr>
    <w:rPr>
      <w:rFonts w:ascii="仿宋_GB2312" w:eastAsia="仿宋_GB2312"/>
      <w:kern w:val="0"/>
      <w:sz w:val="28"/>
      <w:szCs w:val="2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800080"/>
      <w:u w:val="none"/>
    </w:rPr>
  </w:style>
  <w:style w:type="character" w:styleId="13">
    <w:name w:val="Hyperlink"/>
    <w:basedOn w:val="11"/>
    <w:autoRedefine/>
    <w:qFormat/>
    <w:uiPriority w:val="0"/>
    <w:rPr>
      <w:color w:val="0000FF"/>
      <w:u w:val="none"/>
    </w:rPr>
  </w:style>
  <w:style w:type="paragraph" w:customStyle="1" w:styleId="14">
    <w:name w:val="Default"/>
    <w:qFormat/>
    <w:uiPriority w:val="0"/>
    <w:pPr>
      <w:widowControl w:val="0"/>
      <w:autoSpaceDE w:val="0"/>
      <w:autoSpaceDN w:val="0"/>
      <w:adjustRightInd w:val="0"/>
    </w:pPr>
    <w:rPr>
      <w:rFonts w:ascii="New Baskerville" w:hAnsi="Times New Roman" w:eastAsia="New Baskerville" w:cs="New Baskerville"/>
      <w:color w:val="000000"/>
      <w:sz w:val="24"/>
      <w:szCs w:val="24"/>
      <w:lang w:val="en-US" w:eastAsia="zh-CN" w:bidi="ar-SA"/>
    </w:rPr>
  </w:style>
  <w:style w:type="paragraph" w:customStyle="1" w:styleId="15">
    <w:name w:val="标题 21"/>
    <w:basedOn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customStyle="1" w:styleId="16">
    <w:name w:val="默认段落字体1"/>
    <w:link w:val="1"/>
    <w:autoRedefine/>
    <w:semiHidden/>
    <w:qFormat/>
    <w:uiPriority w:val="0"/>
  </w:style>
  <w:style w:type="table" w:customStyle="1" w:styleId="17">
    <w:name w:val="普通表格1"/>
    <w:autoRedefine/>
    <w:semiHidden/>
    <w:qFormat/>
    <w:uiPriority w:val="0"/>
  </w:style>
  <w:style w:type="paragraph" w:customStyle="1" w:styleId="18">
    <w:name w:val="正文文本1"/>
    <w:basedOn w:val="1"/>
    <w:autoRedefine/>
    <w:qFormat/>
    <w:uiPriority w:val="0"/>
    <w:rPr>
      <w:rFonts w:ascii="仿宋_GB2312" w:eastAsia="仿宋_GB2312"/>
      <w:kern w:val="0"/>
      <w:sz w:val="24"/>
      <w:szCs w:val="20"/>
    </w:rPr>
  </w:style>
  <w:style w:type="paragraph" w:customStyle="1" w:styleId="19">
    <w:name w:val="正文文本缩进1"/>
    <w:basedOn w:val="1"/>
    <w:autoRedefine/>
    <w:qFormat/>
    <w:uiPriority w:val="0"/>
    <w:pPr>
      <w:ind w:left="765"/>
    </w:pPr>
    <w:rPr>
      <w:rFonts w:ascii="仿宋_GB2312" w:eastAsia="仿宋_GB2312"/>
      <w:kern w:val="0"/>
      <w:sz w:val="28"/>
      <w:szCs w:val="20"/>
    </w:rPr>
  </w:style>
  <w:style w:type="paragraph" w:customStyle="1" w:styleId="20">
    <w:name w:val="正文首行缩进 21"/>
    <w:basedOn w:val="19"/>
    <w:autoRedefine/>
    <w:qFormat/>
    <w:uiPriority w:val="0"/>
    <w:pPr>
      <w:spacing w:after="120"/>
      <w:ind w:firstLine="200" w:firstLineChars="200"/>
    </w:pPr>
  </w:style>
  <w:style w:type="table" w:customStyle="1" w:styleId="21">
    <w:name w:val="网格型1"/>
    <w:basedOn w:val="9"/>
    <w:autoRedefine/>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NormalCharacter"/>
    <w:autoRedefine/>
    <w:qFormat/>
    <w:uiPriority w:val="99"/>
  </w:style>
  <w:style w:type="character" w:customStyle="1" w:styleId="23">
    <w:name w:val="act"/>
    <w:basedOn w:val="11"/>
    <w:autoRedefine/>
    <w:qFormat/>
    <w:uiPriority w:val="0"/>
    <w:rPr>
      <w:shd w:val="clear" w:fill="FF9900"/>
    </w:rPr>
  </w:style>
  <w:style w:type="character" w:customStyle="1" w:styleId="24">
    <w:name w:val="act1"/>
    <w:basedOn w:val="11"/>
    <w:autoRedefine/>
    <w:qFormat/>
    <w:uiPriority w:val="0"/>
    <w:rPr>
      <w:color w:val="4D87BE"/>
      <w:shd w:val="clear" w:fill="FFFFFF"/>
    </w:rPr>
  </w:style>
  <w:style w:type="character" w:customStyle="1" w:styleId="25">
    <w:name w:val="act2"/>
    <w:basedOn w:val="11"/>
    <w:autoRedefine/>
    <w:qFormat/>
    <w:uiPriority w:val="0"/>
    <w:rPr>
      <w:color w:val="4D87BE"/>
      <w:shd w:val="clear" w:fill="FFFFFF"/>
    </w:rPr>
  </w:style>
  <w:style w:type="character" w:customStyle="1" w:styleId="26">
    <w:name w:val="jb"/>
    <w:basedOn w:val="11"/>
    <w:autoRedefine/>
    <w:qFormat/>
    <w:uiPriority w:val="0"/>
    <w:rPr>
      <w:color w:val="E2A229"/>
      <w:bdr w:val="single" w:color="E2A229" w:sz="6" w:space="0"/>
    </w:rPr>
  </w:style>
  <w:style w:type="character" w:customStyle="1" w:styleId="27">
    <w:name w:val="ts"/>
    <w:basedOn w:val="11"/>
    <w:autoRedefine/>
    <w:qFormat/>
    <w:uiPriority w:val="0"/>
    <w:rPr>
      <w:color w:val="C82A3F"/>
      <w:bdr w:val="single" w:color="C82A3F" w:sz="6" w:space="0"/>
    </w:rPr>
  </w:style>
  <w:style w:type="character" w:customStyle="1" w:styleId="28">
    <w:name w:val="jxz"/>
    <w:basedOn w:val="11"/>
    <w:autoRedefine/>
    <w:qFormat/>
    <w:uiPriority w:val="0"/>
    <w:rPr>
      <w:color w:val="C82A3F"/>
      <w:bdr w:val="single" w:color="C82A3F" w:sz="6" w:space="0"/>
    </w:rPr>
  </w:style>
  <w:style w:type="character" w:customStyle="1" w:styleId="29">
    <w:name w:val="z2"/>
    <w:basedOn w:val="11"/>
    <w:autoRedefine/>
    <w:qFormat/>
    <w:uiPriority w:val="0"/>
    <w:rPr>
      <w:color w:val="DA0000"/>
      <w:shd w:val="clear" w:fill="FFFFFF"/>
    </w:rPr>
  </w:style>
  <w:style w:type="character" w:customStyle="1" w:styleId="30">
    <w:name w:val="zx"/>
    <w:basedOn w:val="11"/>
    <w:autoRedefine/>
    <w:qFormat/>
    <w:uiPriority w:val="0"/>
    <w:rPr>
      <w:color w:val="2FB8A0"/>
      <w:bdr w:val="single" w:color="2FB8A0"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2266</Words>
  <Characters>2484</Characters>
  <Lines>0</Lines>
  <Paragraphs>0</Paragraphs>
  <TotalTime>18</TotalTime>
  <ScaleCrop>false</ScaleCrop>
  <LinksUpToDate>false</LinksUpToDate>
  <CharactersWithSpaces>2613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2024-06-24T07:18:00Z</dcterms:created>
  <dc:creator>快乐的小花花￡*</dc:creator>
  <cp:lastModifiedBy>燕儿</cp:lastModifiedBy>
  <cp:lastPrinted>2025-03-24T08:04:00Z</cp:lastPrinted>
  <dcterms:modified xsi:type="dcterms:W3CDTF">2026-04-17T06:15:18Z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E4B51A60389C4E78B4E77BA2CEFC55AD_13</vt:lpwstr>
  </property>
  <property fmtid="{D5CDD505-2E9C-101B-9397-08002B2CF9AE}" pid="4" name="KSOTemplateDocerSaveRecord">
    <vt:lpwstr>eyJoZGlkIjoiNGRiZjY4ZGM4MTI1ZDQ0NjI4OWIwMmU0MjU3ZDBkNDEiLCJ1c2VySWQiOiI5NTE5NDc2MTQifQ==</vt:lpwstr>
  </property>
</Properties>
</file>