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44"/>
          <w:szCs w:val="44"/>
        </w:rPr>
      </w:pPr>
    </w:p>
    <w:p>
      <w:pPr>
        <w:adjustRightInd w:val="0"/>
        <w:snapToGrid w:val="0"/>
        <w:spacing w:line="476" w:lineRule="exact"/>
        <w:ind w:left="1140" w:leftChars="200" w:hanging="720" w:hangingChars="200"/>
        <w:rPr>
          <w:rFonts w:ascii="宋体" w:hAnsi="宋体" w:cs="仿宋"/>
          <w:b/>
          <w:bCs/>
          <w:sz w:val="36"/>
          <w:szCs w:val="36"/>
        </w:rPr>
      </w:pPr>
      <w:r>
        <w:rPr>
          <w:rFonts w:hint="eastAsia" w:ascii="宋体" w:hAnsi="宋体" w:cs="仿宋"/>
          <w:b/>
          <w:bCs/>
          <w:sz w:val="36"/>
          <w:szCs w:val="36"/>
        </w:rPr>
        <w:t>启东市合作镇五星村宜居宜业和美乡村建设项目</w:t>
      </w:r>
    </w:p>
    <w:p>
      <w:pPr>
        <w:adjustRightInd w:val="0"/>
        <w:snapToGrid w:val="0"/>
        <w:spacing w:line="476" w:lineRule="exact"/>
        <w:ind w:left="1140" w:leftChars="200" w:hanging="720" w:hangingChars="200"/>
        <w:rPr>
          <w:rFonts w:ascii="宋体" w:hAnsi="宋体" w:cs="仿宋"/>
          <w:b/>
          <w:bCs/>
          <w:sz w:val="36"/>
          <w:szCs w:val="36"/>
        </w:rPr>
      </w:pPr>
    </w:p>
    <w:p>
      <w:pPr>
        <w:adjustRightInd w:val="0"/>
        <w:snapToGrid w:val="0"/>
        <w:spacing w:line="476" w:lineRule="exact"/>
        <w:ind w:left="840" w:leftChars="400" w:firstLine="1440" w:firstLineChars="400"/>
        <w:rPr>
          <w:rFonts w:ascii="宋体" w:hAnsi="宋体" w:cs="仿宋"/>
          <w:b/>
          <w:bCs/>
          <w:sz w:val="36"/>
          <w:szCs w:val="36"/>
        </w:rPr>
      </w:pPr>
      <w:r>
        <w:rPr>
          <w:rFonts w:hint="eastAsia" w:ascii="宋体" w:hAnsi="宋体" w:cs="仿宋"/>
          <w:b/>
          <w:bCs/>
          <w:sz w:val="36"/>
          <w:szCs w:val="36"/>
        </w:rPr>
        <w:t>----智能化采购项目</w:t>
      </w:r>
    </w:p>
    <w:p>
      <w:pPr>
        <w:spacing w:line="360" w:lineRule="auto"/>
        <w:rPr>
          <w:rFonts w:cs="仿宋" w:asciiTheme="minorEastAsia" w:hAnsiTheme="minorEastAsia" w:eastAsiaTheme="minorEastAsia"/>
          <w:b/>
          <w:sz w:val="36"/>
          <w:szCs w:val="36"/>
        </w:rPr>
      </w:pPr>
    </w:p>
    <w:p>
      <w:pPr>
        <w:rPr>
          <w:rFonts w:ascii="宋体" w:hAnsi="宋体" w:cs="宋体"/>
          <w:b/>
          <w:sz w:val="100"/>
          <w:szCs w:val="100"/>
        </w:rPr>
      </w:pPr>
    </w:p>
    <w:p>
      <w:pPr>
        <w:jc w:val="center"/>
        <w:rPr>
          <w:rFonts w:ascii="宋体" w:hAnsi="宋体" w:cs="宋体"/>
          <w:b/>
          <w:sz w:val="100"/>
          <w:szCs w:val="100"/>
        </w:rPr>
      </w:pPr>
    </w:p>
    <w:p>
      <w:pPr>
        <w:jc w:val="center"/>
        <w:rPr>
          <w:rFonts w:ascii="仿宋" w:hAnsi="仿宋" w:eastAsia="仿宋" w:cs="仿宋"/>
          <w:b/>
          <w:sz w:val="100"/>
          <w:szCs w:val="100"/>
        </w:rPr>
      </w:pPr>
      <w:r>
        <w:rPr>
          <w:rFonts w:hint="eastAsia" w:ascii="仿宋" w:hAnsi="仿宋" w:eastAsia="仿宋" w:cs="仿宋"/>
          <w:b/>
          <w:sz w:val="100"/>
          <w:szCs w:val="100"/>
        </w:rPr>
        <w:t>采购询价文件</w:t>
      </w:r>
    </w:p>
    <w:p>
      <w:pPr>
        <w:keepNext/>
        <w:spacing w:line="500" w:lineRule="exact"/>
        <w:jc w:val="center"/>
        <w:outlineLvl w:val="5"/>
        <w:rPr>
          <w:rFonts w:ascii="宋体" w:hAnsi="宋体" w:cs="宋体"/>
          <w:b/>
          <w:kern w:val="0"/>
          <w:sz w:val="44"/>
          <w:szCs w:val="20"/>
        </w:rPr>
      </w:pPr>
    </w:p>
    <w:p>
      <w:pPr>
        <w:keepNext/>
        <w:spacing w:line="500" w:lineRule="exact"/>
        <w:jc w:val="center"/>
        <w:outlineLvl w:val="5"/>
        <w:rPr>
          <w:rFonts w:ascii="宋体" w:hAnsi="宋体" w:cs="宋体"/>
          <w:b/>
          <w:kern w:val="0"/>
          <w:sz w:val="44"/>
          <w:szCs w:val="20"/>
        </w:rPr>
      </w:pPr>
    </w:p>
    <w:p>
      <w:pPr>
        <w:keepNext/>
        <w:spacing w:line="500" w:lineRule="exact"/>
        <w:jc w:val="center"/>
        <w:outlineLvl w:val="5"/>
        <w:rPr>
          <w:rFonts w:ascii="宋体" w:hAnsi="宋体" w:cs="宋体"/>
          <w:b/>
          <w:kern w:val="0"/>
          <w:sz w:val="36"/>
          <w:szCs w:val="36"/>
        </w:rPr>
      </w:pPr>
    </w:p>
    <w:p>
      <w:pPr>
        <w:spacing w:line="500" w:lineRule="exact"/>
        <w:rPr>
          <w:rFonts w:ascii="宋体" w:hAnsi="宋体" w:cs="宋体"/>
        </w:rPr>
      </w:pPr>
    </w:p>
    <w:p>
      <w:pPr>
        <w:spacing w:line="500" w:lineRule="exact"/>
        <w:rPr>
          <w:rFonts w:ascii="宋体" w:hAnsi="宋体" w:cs="宋体"/>
          <w:sz w:val="32"/>
        </w:rPr>
      </w:pPr>
    </w:p>
    <w:p>
      <w:pPr>
        <w:spacing w:line="500" w:lineRule="exact"/>
        <w:rPr>
          <w:rFonts w:ascii="宋体" w:hAnsi="宋体" w:cs="宋体"/>
          <w:sz w:val="32"/>
        </w:rPr>
      </w:pPr>
    </w:p>
    <w:p>
      <w:pPr>
        <w:spacing w:line="312" w:lineRule="auto"/>
        <w:ind w:firstLine="1080" w:firstLineChars="300"/>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启东市合作镇五星村股份经济合作社</w:t>
      </w:r>
    </w:p>
    <w:p>
      <w:pPr>
        <w:adjustRightInd w:val="0"/>
        <w:spacing w:before="120" w:after="120" w:line="500" w:lineRule="exact"/>
        <w:ind w:left="-2" w:right="120"/>
        <w:jc w:val="center"/>
        <w:textAlignment w:val="baseline"/>
        <w:rPr>
          <w:rFonts w:cs="仿宋" w:asciiTheme="minorEastAsia" w:hAnsiTheme="minorEastAsia" w:eastAsiaTheme="minorEastAsia"/>
          <w:b/>
          <w:bCs/>
          <w:kern w:val="0"/>
          <w:sz w:val="32"/>
        </w:rPr>
      </w:pPr>
      <w:r>
        <w:rPr>
          <w:rFonts w:hint="eastAsia" w:cs="仿宋" w:asciiTheme="minorEastAsia" w:hAnsiTheme="minorEastAsia" w:eastAsiaTheme="minorEastAsia"/>
          <w:b/>
          <w:bCs/>
          <w:kern w:val="0"/>
          <w:sz w:val="32"/>
          <w:u w:val="single"/>
        </w:rPr>
        <w:t xml:space="preserve">  2025  </w:t>
      </w:r>
      <w:r>
        <w:rPr>
          <w:rFonts w:hint="eastAsia" w:cs="仿宋" w:asciiTheme="minorEastAsia" w:hAnsiTheme="minorEastAsia" w:eastAsiaTheme="minorEastAsia"/>
          <w:b/>
          <w:bCs/>
          <w:kern w:val="0"/>
          <w:sz w:val="32"/>
        </w:rPr>
        <w:t>年</w:t>
      </w:r>
      <w:r>
        <w:rPr>
          <w:rFonts w:hint="eastAsia" w:cs="仿宋" w:asciiTheme="minorEastAsia" w:hAnsiTheme="minorEastAsia" w:eastAsiaTheme="minorEastAsia"/>
          <w:b/>
          <w:bCs/>
          <w:kern w:val="0"/>
          <w:sz w:val="32"/>
          <w:u w:val="single"/>
        </w:rPr>
        <w:t xml:space="preserve">  05  </w:t>
      </w:r>
      <w:r>
        <w:rPr>
          <w:rFonts w:hint="eastAsia" w:cs="仿宋" w:asciiTheme="minorEastAsia" w:hAnsiTheme="minorEastAsia" w:eastAsiaTheme="minorEastAsia"/>
          <w:b/>
          <w:bCs/>
          <w:kern w:val="0"/>
          <w:sz w:val="32"/>
        </w:rPr>
        <w:t>月</w:t>
      </w:r>
      <w:r>
        <w:rPr>
          <w:rFonts w:hint="eastAsia" w:cs="仿宋" w:asciiTheme="minorEastAsia" w:hAnsiTheme="minorEastAsia" w:eastAsiaTheme="minorEastAsia"/>
          <w:b/>
          <w:bCs/>
          <w:kern w:val="0"/>
          <w:sz w:val="32"/>
          <w:u w:val="single"/>
        </w:rPr>
        <w:t xml:space="preserve"> 29  </w:t>
      </w:r>
      <w:r>
        <w:rPr>
          <w:rFonts w:hint="eastAsia" w:cs="仿宋" w:asciiTheme="minorEastAsia" w:hAnsiTheme="minorEastAsia" w:eastAsiaTheme="minorEastAsia"/>
          <w:b/>
          <w:bCs/>
          <w:kern w:val="0"/>
          <w:sz w:val="32"/>
        </w:rPr>
        <w:t>日</w:t>
      </w:r>
    </w:p>
    <w:p>
      <w:pPr>
        <w:adjustRightInd w:val="0"/>
        <w:spacing w:before="120" w:after="120" w:line="500" w:lineRule="exact"/>
        <w:ind w:left="-2" w:right="120"/>
        <w:jc w:val="center"/>
        <w:textAlignment w:val="baseline"/>
        <w:rPr>
          <w:rFonts w:cs="仿宋" w:asciiTheme="minorEastAsia" w:hAnsiTheme="minorEastAsia" w:eastAsiaTheme="minorEastAsia"/>
          <w:b/>
          <w:bCs/>
          <w:kern w:val="0"/>
          <w:sz w:val="32"/>
        </w:rPr>
      </w:pPr>
    </w:p>
    <w:p>
      <w:pPr>
        <w:adjustRightInd w:val="0"/>
        <w:snapToGrid w:val="0"/>
        <w:spacing w:line="500" w:lineRule="exact"/>
        <w:ind w:left="-157" w:leftChars="-75"/>
        <w:rPr>
          <w:rFonts w:cs="仿宋" w:asciiTheme="minorEastAsia" w:hAnsiTheme="minorEastAsia" w:eastAsiaTheme="minorEastAsia"/>
          <w:b/>
          <w:snapToGrid w:val="0"/>
          <w:sz w:val="26"/>
          <w:szCs w:val="28"/>
          <w:u w:val="single"/>
        </w:rPr>
      </w:pPr>
    </w:p>
    <w:p>
      <w:pPr>
        <w:adjustRightInd w:val="0"/>
        <w:snapToGrid w:val="0"/>
        <w:ind w:left="-157" w:leftChars="-75"/>
        <w:jc w:val="left"/>
        <w:rPr>
          <w:rFonts w:cs="仿宋" w:asciiTheme="minorEastAsia" w:hAnsiTheme="minorEastAsia" w:eastAsiaTheme="minorEastAsia"/>
          <w:b/>
          <w:snapToGrid w:val="0"/>
          <w:sz w:val="32"/>
          <w:szCs w:val="32"/>
        </w:rPr>
      </w:pPr>
      <w:r>
        <w:rPr>
          <w:rFonts w:hint="eastAsia" w:cs="仿宋" w:asciiTheme="minorEastAsia" w:hAnsiTheme="minorEastAsia" w:eastAsiaTheme="minorEastAsia"/>
          <w:b/>
          <w:snapToGrid w:val="0"/>
          <w:sz w:val="32"/>
          <w:szCs w:val="32"/>
        </w:rPr>
        <w:t>地址:启东市合作镇五星村村民委员会</w:t>
      </w:r>
    </w:p>
    <w:p>
      <w:pPr>
        <w:adjustRightInd w:val="0"/>
        <w:snapToGrid w:val="0"/>
        <w:ind w:left="-157" w:leftChars="-75"/>
        <w:rPr>
          <w:rFonts w:cs="仿宋" w:asciiTheme="minorEastAsia" w:hAnsiTheme="minorEastAsia" w:eastAsiaTheme="minorEastAsia"/>
          <w:b/>
          <w:snapToGrid w:val="0"/>
          <w:sz w:val="32"/>
          <w:szCs w:val="32"/>
        </w:rPr>
      </w:pPr>
      <w:r>
        <w:rPr>
          <w:rFonts w:hint="eastAsia" w:cs="仿宋" w:asciiTheme="minorEastAsia" w:hAnsiTheme="minorEastAsia" w:eastAsiaTheme="minorEastAsia"/>
          <w:b/>
          <w:snapToGrid w:val="0"/>
          <w:sz w:val="32"/>
          <w:szCs w:val="32"/>
        </w:rPr>
        <w:t xml:space="preserve">邮政编码：226200        </w:t>
      </w:r>
    </w:p>
    <w:p>
      <w:pPr>
        <w:autoSpaceDE w:val="0"/>
        <w:autoSpaceDN w:val="0"/>
        <w:adjustRightInd w:val="0"/>
        <w:snapToGrid w:val="0"/>
        <w:spacing w:line="360" w:lineRule="auto"/>
        <w:jc w:val="center"/>
        <w:outlineLvl w:val="0"/>
        <w:rPr>
          <w:rFonts w:ascii="宋体" w:hAnsi="宋体" w:cs="宋体"/>
          <w:bCs/>
          <w:spacing w:val="7"/>
          <w:kern w:val="0"/>
          <w:sz w:val="44"/>
          <w:szCs w:val="44"/>
        </w:rPr>
      </w:pPr>
    </w:p>
    <w:p>
      <w:pPr>
        <w:autoSpaceDE w:val="0"/>
        <w:autoSpaceDN w:val="0"/>
        <w:adjustRightInd w:val="0"/>
        <w:snapToGrid w:val="0"/>
        <w:spacing w:line="360" w:lineRule="auto"/>
        <w:jc w:val="center"/>
        <w:outlineLvl w:val="0"/>
        <w:rPr>
          <w:rFonts w:cs="仿宋" w:asciiTheme="minorEastAsia" w:hAnsiTheme="minorEastAsia" w:eastAsiaTheme="minorEastAsia"/>
          <w:bCs/>
          <w:spacing w:val="7"/>
          <w:kern w:val="0"/>
          <w:sz w:val="28"/>
          <w:szCs w:val="28"/>
        </w:rPr>
      </w:pPr>
    </w:p>
    <w:p>
      <w:pPr>
        <w:autoSpaceDE w:val="0"/>
        <w:autoSpaceDN w:val="0"/>
        <w:adjustRightInd w:val="0"/>
        <w:snapToGrid w:val="0"/>
        <w:spacing w:line="360" w:lineRule="auto"/>
        <w:jc w:val="center"/>
        <w:outlineLvl w:val="0"/>
        <w:rPr>
          <w:rFonts w:cs="仿宋" w:asciiTheme="minorEastAsia" w:hAnsiTheme="minorEastAsia" w:eastAsiaTheme="minorEastAsia"/>
          <w:bCs/>
          <w:spacing w:val="7"/>
          <w:kern w:val="0"/>
          <w:sz w:val="28"/>
          <w:szCs w:val="28"/>
        </w:rPr>
      </w:pPr>
    </w:p>
    <w:p>
      <w:pPr>
        <w:autoSpaceDE w:val="0"/>
        <w:autoSpaceDN w:val="0"/>
        <w:adjustRightInd w:val="0"/>
        <w:snapToGrid w:val="0"/>
        <w:spacing w:line="360" w:lineRule="auto"/>
        <w:jc w:val="center"/>
        <w:outlineLvl w:val="0"/>
        <w:rPr>
          <w:rFonts w:cs="仿宋" w:asciiTheme="minorEastAsia" w:hAnsiTheme="minorEastAsia" w:eastAsiaTheme="minorEastAsia"/>
          <w:bCs/>
          <w:spacing w:val="7"/>
          <w:kern w:val="0"/>
          <w:sz w:val="28"/>
          <w:szCs w:val="28"/>
        </w:rPr>
      </w:pPr>
    </w:p>
    <w:p>
      <w:pPr>
        <w:autoSpaceDE w:val="0"/>
        <w:autoSpaceDN w:val="0"/>
        <w:adjustRightInd w:val="0"/>
        <w:snapToGrid w:val="0"/>
        <w:spacing w:line="360" w:lineRule="auto"/>
        <w:ind w:firstLine="2940" w:firstLineChars="1000"/>
        <w:outlineLvl w:val="0"/>
        <w:rPr>
          <w:rFonts w:cs="仿宋" w:asciiTheme="minorEastAsia" w:hAnsiTheme="minorEastAsia" w:eastAsiaTheme="minorEastAsia"/>
          <w:bCs/>
          <w:spacing w:val="7"/>
          <w:kern w:val="0"/>
          <w:sz w:val="28"/>
          <w:szCs w:val="28"/>
        </w:rPr>
      </w:pPr>
      <w:r>
        <w:rPr>
          <w:rFonts w:hint="eastAsia" w:cs="仿宋" w:asciiTheme="minorEastAsia" w:hAnsiTheme="minorEastAsia" w:eastAsiaTheme="minorEastAsia"/>
          <w:bCs/>
          <w:spacing w:val="7"/>
          <w:kern w:val="0"/>
          <w:sz w:val="28"/>
          <w:szCs w:val="28"/>
        </w:rPr>
        <w:t>目    录</w:t>
      </w:r>
    </w:p>
    <w:p>
      <w:pPr>
        <w:autoSpaceDE w:val="0"/>
        <w:autoSpaceDN w:val="0"/>
        <w:adjustRightInd w:val="0"/>
        <w:snapToGrid w:val="0"/>
        <w:spacing w:line="360" w:lineRule="auto"/>
        <w:rPr>
          <w:rFonts w:cs="仿宋" w:asciiTheme="minorEastAsia" w:hAnsiTheme="minorEastAsia" w:eastAsiaTheme="minorEastAsia"/>
          <w:bCs/>
          <w:spacing w:val="7"/>
          <w:kern w:val="0"/>
          <w:sz w:val="28"/>
          <w:szCs w:val="28"/>
        </w:rPr>
      </w:pPr>
    </w:p>
    <w:p>
      <w:pPr>
        <w:pStyle w:val="9"/>
        <w:adjustRightInd w:val="0"/>
        <w:snapToGrid w:val="0"/>
        <w:spacing w:after="0" w:line="480" w:lineRule="auto"/>
        <w:rPr>
          <w:rFonts w:cs="仿宋" w:asciiTheme="minorEastAsia" w:hAnsiTheme="minorEastAsia" w:eastAsiaTheme="minorEastAsia"/>
          <w:sz w:val="28"/>
          <w:szCs w:val="28"/>
        </w:rPr>
      </w:pPr>
    </w:p>
    <w:p>
      <w:pPr>
        <w:adjustRightInd w:val="0"/>
        <w:snapToGrid w:val="0"/>
        <w:spacing w:line="480" w:lineRule="auto"/>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第一部分  询价采购公告</w:t>
      </w:r>
    </w:p>
    <w:p>
      <w:pPr>
        <w:adjustRightInd w:val="0"/>
        <w:snapToGrid w:val="0"/>
        <w:spacing w:line="480" w:lineRule="auto"/>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第二部分  响应须知</w:t>
      </w:r>
    </w:p>
    <w:p>
      <w:pPr>
        <w:adjustRightInd w:val="0"/>
        <w:snapToGrid w:val="0"/>
        <w:spacing w:line="480" w:lineRule="auto"/>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第三部分  项目需求</w:t>
      </w:r>
    </w:p>
    <w:p>
      <w:pPr>
        <w:adjustRightInd w:val="0"/>
        <w:snapToGrid w:val="0"/>
        <w:spacing w:line="480" w:lineRule="auto"/>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第四部分  响应文件组成</w:t>
      </w:r>
    </w:p>
    <w:p>
      <w:pPr>
        <w:adjustRightInd w:val="0"/>
        <w:snapToGrid w:val="0"/>
        <w:spacing w:line="500" w:lineRule="exact"/>
        <w:jc w:val="center"/>
        <w:rPr>
          <w:rFonts w:cs="仿宋" w:asciiTheme="minorEastAsia" w:hAnsiTheme="minorEastAsia" w:eastAsiaTheme="minorEastAsia"/>
          <w:sz w:val="28"/>
          <w:szCs w:val="28"/>
        </w:rPr>
      </w:pPr>
      <w:r>
        <w:rPr>
          <w:rFonts w:hint="eastAsia" w:cs="宋体" w:asciiTheme="minorEastAsia" w:hAnsiTheme="minorEastAsia" w:eastAsiaTheme="minorEastAsia"/>
          <w:spacing w:val="7"/>
          <w:kern w:val="0"/>
          <w:sz w:val="28"/>
          <w:szCs w:val="28"/>
        </w:rPr>
        <w:br w:type="page"/>
      </w:r>
      <w:bookmarkStart w:id="0" w:name="_Toc82505651"/>
      <w:bookmarkStart w:id="1" w:name="_Toc3520"/>
      <w:bookmarkStart w:id="2" w:name="OLE_LINK1"/>
      <w:r>
        <w:rPr>
          <w:rFonts w:hint="eastAsia" w:cs="仿宋" w:asciiTheme="minorEastAsia" w:hAnsiTheme="minorEastAsia" w:eastAsiaTheme="minorEastAsia"/>
          <w:sz w:val="28"/>
          <w:szCs w:val="28"/>
        </w:rPr>
        <w:t>第一部分  询价采购公告</w:t>
      </w:r>
      <w:bookmarkEnd w:id="0"/>
      <w:bookmarkEnd w:id="1"/>
    </w:p>
    <w:p>
      <w:pPr>
        <w:pStyle w:val="17"/>
        <w:spacing w:before="0" w:beforeAutospacing="0" w:after="0" w:afterAutospacing="0" w:line="500" w:lineRule="exact"/>
        <w:ind w:firstLine="560" w:firstLineChars="200"/>
        <w:rPr>
          <w:rFonts w:hint="default" w:ascii="宋体" w:hAnsi="宋体"/>
          <w:sz w:val="28"/>
          <w:szCs w:val="28"/>
        </w:rPr>
      </w:pPr>
      <w:bookmarkStart w:id="3" w:name="OLE_LINK2"/>
      <w:bookmarkStart w:id="4" w:name="OLE_LINK5"/>
      <w:bookmarkStart w:id="5" w:name="OLE_LINK3"/>
      <w:bookmarkStart w:id="6" w:name="OLE_LINK6"/>
      <w:r>
        <w:rPr>
          <w:rFonts w:ascii="宋体" w:hAnsi="宋体"/>
          <w:sz w:val="28"/>
          <w:szCs w:val="28"/>
        </w:rPr>
        <w:t>启东市合作镇五星村股份经济合作社就[启东市合作镇五星村宜居宜业和美乡村建设项目-----智能化采购项目]进行询价采购，欢迎符合条件的供应商响应。</w:t>
      </w:r>
    </w:p>
    <w:p>
      <w:pPr>
        <w:adjustRightInd w:val="0"/>
        <w:snapToGrid w:val="0"/>
        <w:spacing w:line="500" w:lineRule="exact"/>
        <w:ind w:firstLine="560" w:firstLineChars="200"/>
        <w:jc w:val="left"/>
        <w:rPr>
          <w:rFonts w:ascii="宋体" w:hAnsi="宋体" w:cs="仿宋"/>
          <w:b/>
          <w:bCs/>
          <w:sz w:val="28"/>
          <w:szCs w:val="28"/>
        </w:rPr>
      </w:pPr>
      <w:bookmarkStart w:id="7" w:name="_Toc82505652"/>
      <w:r>
        <w:rPr>
          <w:rFonts w:hint="eastAsia" w:ascii="宋体" w:hAnsi="宋体" w:cs="仿宋"/>
          <w:b/>
          <w:bCs/>
          <w:sz w:val="28"/>
          <w:szCs w:val="28"/>
        </w:rPr>
        <w:t>一、项目基本情况</w:t>
      </w:r>
      <w:bookmarkEnd w:id="7"/>
    </w:p>
    <w:p>
      <w:pPr>
        <w:pStyle w:val="17"/>
        <w:spacing w:before="0" w:beforeAutospacing="0" w:after="0" w:afterAutospacing="0" w:line="500" w:lineRule="exact"/>
        <w:ind w:firstLine="560" w:firstLineChars="200"/>
        <w:rPr>
          <w:rFonts w:hint="default" w:ascii="宋体" w:hAnsi="宋体"/>
          <w:sz w:val="28"/>
          <w:szCs w:val="28"/>
        </w:rPr>
      </w:pPr>
      <w:r>
        <w:rPr>
          <w:rFonts w:ascii="宋体" w:hAnsi="宋体"/>
          <w:sz w:val="28"/>
          <w:szCs w:val="28"/>
        </w:rPr>
        <w:t>项目名称：启东市合作镇五星村宜居宜业和美乡村建设项目-----智能化采购项目</w:t>
      </w:r>
    </w:p>
    <w:p>
      <w:pPr>
        <w:pStyle w:val="17"/>
        <w:spacing w:before="0" w:beforeAutospacing="0" w:after="0" w:afterAutospacing="0" w:line="500" w:lineRule="exact"/>
        <w:ind w:firstLine="560" w:firstLineChars="200"/>
        <w:rPr>
          <w:rFonts w:hint="default" w:ascii="宋体" w:hAnsi="宋体"/>
          <w:kern w:val="2"/>
          <w:sz w:val="28"/>
          <w:szCs w:val="28"/>
        </w:rPr>
      </w:pPr>
      <w:r>
        <w:rPr>
          <w:rFonts w:ascii="宋体" w:hAnsi="宋体" w:cs="仿宋"/>
          <w:sz w:val="28"/>
          <w:szCs w:val="28"/>
        </w:rPr>
        <w:t>项目类型：货物</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预算金额：160018元。</w:t>
      </w:r>
    </w:p>
    <w:p>
      <w:pPr>
        <w:tabs>
          <w:tab w:val="left" w:pos="6860"/>
          <w:tab w:val="left" w:pos="7140"/>
        </w:tabs>
        <w:spacing w:line="500" w:lineRule="exact"/>
        <w:ind w:firstLine="560" w:firstLineChars="200"/>
        <w:jc w:val="left"/>
        <w:rPr>
          <w:rFonts w:ascii="宋体" w:hAnsi="宋体" w:cs="仿宋"/>
          <w:sz w:val="28"/>
          <w:szCs w:val="28"/>
        </w:rPr>
      </w:pPr>
      <w:r>
        <w:rPr>
          <w:rFonts w:hint="eastAsia" w:ascii="宋体" w:hAnsi="宋体" w:cs="仿宋"/>
          <w:sz w:val="28"/>
          <w:szCs w:val="28"/>
        </w:rPr>
        <w:t>最高限价：160018元，报价超过最高限价的为无效报价。</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采购需求：详见采购文件，请仔细研究。</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本项目不接受联合体。</w:t>
      </w:r>
    </w:p>
    <w:p>
      <w:pPr>
        <w:adjustRightInd w:val="0"/>
        <w:snapToGrid w:val="0"/>
        <w:spacing w:line="500" w:lineRule="exact"/>
        <w:ind w:firstLine="560" w:firstLineChars="200"/>
        <w:jc w:val="left"/>
        <w:rPr>
          <w:rFonts w:ascii="宋体" w:hAnsi="宋体" w:cs="仿宋"/>
          <w:b/>
          <w:bCs/>
          <w:sz w:val="28"/>
          <w:szCs w:val="28"/>
        </w:rPr>
      </w:pPr>
      <w:bookmarkStart w:id="8" w:name="_Toc82505653"/>
      <w:r>
        <w:rPr>
          <w:rFonts w:hint="eastAsia" w:ascii="宋体" w:hAnsi="宋体" w:cs="仿宋"/>
          <w:b/>
          <w:bCs/>
          <w:sz w:val="28"/>
          <w:szCs w:val="28"/>
        </w:rPr>
        <w:t>二、响应供应商的资格要求：</w:t>
      </w:r>
      <w:bookmarkEnd w:id="8"/>
    </w:p>
    <w:p>
      <w:pPr>
        <w:adjustRightInd w:val="0"/>
        <w:snapToGrid w:val="0"/>
        <w:spacing w:line="500" w:lineRule="exact"/>
        <w:ind w:firstLine="560" w:firstLineChars="200"/>
        <w:jc w:val="left"/>
        <w:rPr>
          <w:rFonts w:ascii="宋体" w:hAnsi="宋体" w:cs="仿宋"/>
          <w:sz w:val="28"/>
          <w:szCs w:val="28"/>
        </w:rPr>
      </w:pPr>
      <w:bookmarkStart w:id="9" w:name="_Toc82505654"/>
      <w:r>
        <w:rPr>
          <w:rFonts w:hint="eastAsia" w:ascii="宋体" w:hAnsi="宋体" w:cs="仿宋"/>
          <w:sz w:val="28"/>
          <w:szCs w:val="28"/>
        </w:rPr>
        <w:t>1.投标单位应符合《中华人民共和国政府采购法》第二十二条的规定；</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2. 投标人具有行政管理部门颁发的有效营业执照；</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3.未被“信用中国”网站（www.creditchina.gov.cn）列入失信被执行人、重大税收违法案件当事人名单、政府采购严重失信行为记录名单。</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4.本项目不接受联合体投标。</w:t>
      </w:r>
    </w:p>
    <w:p>
      <w:pPr>
        <w:adjustRightInd w:val="0"/>
        <w:snapToGrid w:val="0"/>
        <w:spacing w:line="500" w:lineRule="exact"/>
        <w:ind w:firstLine="560" w:firstLineChars="200"/>
        <w:jc w:val="left"/>
        <w:rPr>
          <w:rFonts w:ascii="宋体" w:hAnsi="宋体" w:cs="仿宋"/>
          <w:b/>
          <w:bCs/>
          <w:sz w:val="28"/>
          <w:szCs w:val="28"/>
        </w:rPr>
      </w:pPr>
      <w:r>
        <w:rPr>
          <w:rFonts w:hint="eastAsia" w:ascii="宋体" w:hAnsi="宋体" w:cs="仿宋"/>
          <w:b/>
          <w:bCs/>
          <w:sz w:val="28"/>
          <w:szCs w:val="28"/>
        </w:rPr>
        <w:t>三、获取采购文件</w:t>
      </w:r>
      <w:bookmarkEnd w:id="9"/>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时间：2025年05月29日至2025年06月 05日</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获取的地点、方式：供应商登录启东市人民政府网站进行下载操作。</w:t>
      </w:r>
    </w:p>
    <w:p>
      <w:pPr>
        <w:adjustRightInd w:val="0"/>
        <w:snapToGrid w:val="0"/>
        <w:spacing w:line="500" w:lineRule="exact"/>
        <w:ind w:firstLine="560" w:firstLineChars="200"/>
        <w:jc w:val="left"/>
        <w:rPr>
          <w:rFonts w:ascii="宋体" w:hAnsi="宋体" w:cs="仿宋"/>
          <w:b/>
          <w:bCs/>
          <w:sz w:val="28"/>
          <w:szCs w:val="28"/>
        </w:rPr>
      </w:pPr>
      <w:bookmarkStart w:id="10" w:name="_Toc82505655"/>
      <w:r>
        <w:rPr>
          <w:rFonts w:hint="eastAsia" w:ascii="宋体" w:hAnsi="宋体" w:cs="仿宋"/>
          <w:b/>
          <w:bCs/>
          <w:sz w:val="28"/>
          <w:szCs w:val="28"/>
        </w:rPr>
        <w:t>四、响应文件提交</w:t>
      </w:r>
      <w:bookmarkEnd w:id="10"/>
    </w:p>
    <w:p>
      <w:pPr>
        <w:adjustRightInd w:val="0"/>
        <w:snapToGrid w:val="0"/>
        <w:spacing w:line="500" w:lineRule="exact"/>
        <w:ind w:firstLine="560" w:firstLineChars="200"/>
        <w:jc w:val="left"/>
        <w:rPr>
          <w:rFonts w:ascii="宋体" w:hAnsi="宋体" w:cs="仿宋"/>
          <w:sz w:val="28"/>
          <w:szCs w:val="28"/>
        </w:rPr>
      </w:pPr>
      <w:bookmarkStart w:id="11" w:name="_Toc82505657"/>
      <w:r>
        <w:rPr>
          <w:rFonts w:hint="eastAsia" w:ascii="宋体" w:hAnsi="宋体" w:cs="仿宋"/>
          <w:sz w:val="28"/>
          <w:szCs w:val="28"/>
        </w:rPr>
        <w:t>开标时间：2025年06月05日下午14:30（北京时间）</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开标地点：启东市合作镇人民政府便民服务中心二楼开标室</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1）本项目为不见面开标，投标人须在规定的投标文件接收截止时间前将投标文件邮寄（只接收顺丰）至规定接收地点。请各潜在投标人充分考虑天气、快递速度、路程等因素，不接受到付。未在规定时间内送达的投标文件将不予接收，后果由各潜在投标人自行承担。</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2）投标文件接收截止时间及接收地点：2025年06月05日11:00前寄达（以送达签收时间为准），接收地点：启东市汇龙镇江海中路544号鑫磊大厦六楼（江苏本源项目管理有限公司）。联系人：施春香，联系电话：15951311683。</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友情提醒：拒绝接收未按照招标文件要求密封的投标文件，拒绝接收在投标文件接收截止时间后寄达（以送达签收时间为准）的投标文件，上述情况各潜在投标人充分考虑相关因素，不得就此提出任何异议。</w:t>
      </w:r>
    </w:p>
    <w:p>
      <w:pPr>
        <w:adjustRightInd w:val="0"/>
        <w:snapToGrid w:val="0"/>
        <w:spacing w:line="500" w:lineRule="exact"/>
        <w:ind w:firstLine="560" w:firstLineChars="200"/>
        <w:jc w:val="left"/>
        <w:rPr>
          <w:rFonts w:ascii="宋体" w:hAnsi="宋体" w:cs="仿宋"/>
          <w:b/>
          <w:bCs/>
          <w:sz w:val="28"/>
          <w:szCs w:val="28"/>
        </w:rPr>
      </w:pPr>
      <w:r>
        <w:rPr>
          <w:rFonts w:hint="eastAsia" w:ascii="宋体" w:hAnsi="宋体" w:cs="仿宋"/>
          <w:b/>
          <w:bCs/>
          <w:sz w:val="28"/>
          <w:szCs w:val="28"/>
        </w:rPr>
        <w:t>五、公告期限</w:t>
      </w:r>
      <w:bookmarkEnd w:id="11"/>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自本公告发布之日起3个工作日。</w:t>
      </w:r>
    </w:p>
    <w:p>
      <w:pPr>
        <w:adjustRightInd w:val="0"/>
        <w:snapToGrid w:val="0"/>
        <w:spacing w:line="500" w:lineRule="exact"/>
        <w:ind w:firstLine="560" w:firstLineChars="200"/>
        <w:jc w:val="left"/>
        <w:rPr>
          <w:rFonts w:ascii="宋体" w:hAnsi="宋体" w:cs="仿宋"/>
          <w:b/>
          <w:bCs/>
          <w:sz w:val="28"/>
          <w:szCs w:val="28"/>
        </w:rPr>
      </w:pPr>
      <w:bookmarkStart w:id="12" w:name="_Toc82505658"/>
      <w:r>
        <w:rPr>
          <w:rFonts w:hint="eastAsia" w:ascii="宋体" w:hAnsi="宋体" w:cs="仿宋"/>
          <w:b/>
          <w:bCs/>
          <w:sz w:val="28"/>
          <w:szCs w:val="28"/>
        </w:rPr>
        <w:t>六、其他补充事宜</w:t>
      </w:r>
      <w:bookmarkEnd w:id="12"/>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1.响应保证金：免收。</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2.项目开标活动模式：不见面开标模式。</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3.项目样品：无。</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4.对项目需求部分（供应商资格要求、项目需求）的询问、质疑请向采购人提出，由采购人负责答复；</w:t>
      </w:r>
    </w:p>
    <w:p>
      <w:pPr>
        <w:adjustRightInd w:val="0"/>
        <w:snapToGrid w:val="0"/>
        <w:spacing w:line="500" w:lineRule="exact"/>
        <w:ind w:firstLine="560" w:firstLineChars="200"/>
        <w:jc w:val="left"/>
        <w:rPr>
          <w:rFonts w:ascii="宋体" w:hAnsi="宋体" w:cs="仿宋"/>
          <w:b/>
          <w:bCs/>
          <w:sz w:val="28"/>
          <w:szCs w:val="28"/>
        </w:rPr>
      </w:pPr>
      <w:bookmarkStart w:id="13" w:name="_Toc82505660"/>
      <w:r>
        <w:rPr>
          <w:rFonts w:hint="eastAsia" w:ascii="宋体" w:hAnsi="宋体" w:cs="仿宋"/>
          <w:b/>
          <w:bCs/>
          <w:sz w:val="28"/>
          <w:szCs w:val="28"/>
        </w:rPr>
        <w:t>七、凡对本次采购提出询问，请按以下方式联系</w:t>
      </w:r>
      <w:bookmarkEnd w:id="13"/>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1.采购人信息</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名称:</w:t>
      </w:r>
      <w:r>
        <w:rPr>
          <w:rFonts w:hint="eastAsia" w:ascii="宋体" w:hAnsi="宋体" w:cs="仿宋"/>
          <w:bCs/>
          <w:sz w:val="28"/>
          <w:szCs w:val="28"/>
        </w:rPr>
        <w:t xml:space="preserve"> </w:t>
      </w:r>
      <w:r>
        <w:rPr>
          <w:rFonts w:hint="eastAsia" w:ascii="宋体" w:hAnsi="宋体" w:cs="仿宋"/>
          <w:sz w:val="28"/>
          <w:szCs w:val="28"/>
        </w:rPr>
        <w:t>启东市合作镇五星村股份经济合作社</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联系人∶陶美珠</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联系方式:13773885155</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2.采购代理机构信息</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名 称：江苏本源项目管理有限公司</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地址：启东市汇龙镇江海中路544号鑫磊大厦六楼</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联系人：施春香</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 xml:space="preserve">联系电话：0513-83351266 </w:t>
      </w:r>
    </w:p>
    <w:p>
      <w:pPr>
        <w:adjustRightInd w:val="0"/>
        <w:snapToGrid w:val="0"/>
        <w:spacing w:line="500" w:lineRule="exact"/>
        <w:ind w:firstLine="560" w:firstLineChars="200"/>
        <w:jc w:val="left"/>
        <w:rPr>
          <w:rFonts w:ascii="宋体" w:hAnsi="宋体" w:cs="仿宋"/>
          <w:sz w:val="28"/>
          <w:szCs w:val="28"/>
        </w:rPr>
      </w:pPr>
    </w:p>
    <w:p>
      <w:pPr>
        <w:adjustRightInd w:val="0"/>
        <w:snapToGrid w:val="0"/>
        <w:spacing w:line="500" w:lineRule="exact"/>
        <w:ind w:firstLine="2800" w:firstLineChars="1000"/>
        <w:jc w:val="left"/>
        <w:rPr>
          <w:rFonts w:ascii="宋体" w:hAnsi="宋体" w:cs="仿宋"/>
          <w:sz w:val="28"/>
          <w:szCs w:val="28"/>
        </w:rPr>
      </w:pPr>
    </w:p>
    <w:p>
      <w:pPr>
        <w:adjustRightInd w:val="0"/>
        <w:snapToGrid w:val="0"/>
        <w:spacing w:line="500" w:lineRule="exact"/>
        <w:ind w:firstLine="2800" w:firstLineChars="1000"/>
        <w:jc w:val="left"/>
        <w:rPr>
          <w:rFonts w:ascii="宋体" w:hAnsi="宋体" w:cs="仿宋"/>
          <w:sz w:val="28"/>
          <w:szCs w:val="28"/>
        </w:rPr>
      </w:pPr>
    </w:p>
    <w:p>
      <w:pPr>
        <w:spacing w:line="500" w:lineRule="exact"/>
        <w:ind w:firstLine="560" w:firstLineChars="200"/>
        <w:jc w:val="left"/>
        <w:rPr>
          <w:rFonts w:ascii="宋体" w:hAnsi="宋体" w:cs="仿宋"/>
          <w:bCs/>
          <w:sz w:val="28"/>
          <w:szCs w:val="28"/>
        </w:rPr>
      </w:pPr>
      <w:r>
        <w:rPr>
          <w:rFonts w:hint="eastAsia" w:cs="仿宋" w:asciiTheme="minorEastAsia" w:hAnsiTheme="minorEastAsia" w:eastAsiaTheme="minorEastAsia"/>
          <w:b/>
          <w:bCs/>
          <w:sz w:val="28"/>
          <w:szCs w:val="28"/>
        </w:rPr>
        <w:t>附件:采购文件</w:t>
      </w:r>
      <w:bookmarkEnd w:id="2"/>
      <w:bookmarkEnd w:id="3"/>
      <w:bookmarkEnd w:id="4"/>
      <w:bookmarkEnd w:id="5"/>
      <w:bookmarkEnd w:id="6"/>
      <w:bookmarkStart w:id="14" w:name="_Toc22736"/>
    </w:p>
    <w:bookmarkEnd w:id="14"/>
    <w:p>
      <w:pPr>
        <w:adjustRightInd w:val="0"/>
        <w:snapToGrid w:val="0"/>
        <w:spacing w:line="500" w:lineRule="exact"/>
        <w:ind w:firstLine="2800" w:firstLineChars="1000"/>
        <w:rPr>
          <w:rFonts w:cs="仿宋" w:asciiTheme="minorEastAsia" w:hAnsiTheme="minorEastAsia" w:eastAsiaTheme="minorEastAsia"/>
          <w:sz w:val="28"/>
          <w:szCs w:val="28"/>
        </w:rPr>
      </w:pPr>
      <w:bookmarkStart w:id="15" w:name="_Toc82505664"/>
      <w:bookmarkStart w:id="16" w:name="_Toc11926"/>
    </w:p>
    <w:p>
      <w:pPr>
        <w:adjustRightInd w:val="0"/>
        <w:snapToGrid w:val="0"/>
        <w:spacing w:line="500" w:lineRule="exact"/>
        <w:ind w:firstLine="2800" w:firstLineChars="1000"/>
        <w:rPr>
          <w:rFonts w:cs="仿宋" w:asciiTheme="minorEastAsia" w:hAnsiTheme="minorEastAsia" w:eastAsiaTheme="minorEastAsia"/>
          <w:sz w:val="28"/>
          <w:szCs w:val="28"/>
        </w:rPr>
      </w:pPr>
    </w:p>
    <w:p>
      <w:pPr>
        <w:adjustRightInd w:val="0"/>
        <w:snapToGrid w:val="0"/>
        <w:spacing w:line="500" w:lineRule="exact"/>
        <w:ind w:firstLine="2800" w:firstLineChars="1000"/>
        <w:rPr>
          <w:rFonts w:cs="仿宋" w:asciiTheme="minorEastAsia" w:hAnsiTheme="minorEastAsia" w:eastAsiaTheme="minorEastAsia"/>
          <w:sz w:val="28"/>
          <w:szCs w:val="28"/>
        </w:rPr>
      </w:pPr>
    </w:p>
    <w:p>
      <w:pPr>
        <w:adjustRightInd w:val="0"/>
        <w:snapToGrid w:val="0"/>
        <w:spacing w:line="500" w:lineRule="exact"/>
        <w:ind w:firstLine="2800" w:firstLineChars="1000"/>
        <w:rPr>
          <w:rFonts w:cs="仿宋" w:asciiTheme="minorEastAsia" w:hAnsiTheme="minorEastAsia" w:eastAsiaTheme="minorEastAsia"/>
          <w:sz w:val="28"/>
          <w:szCs w:val="28"/>
        </w:rPr>
      </w:pPr>
    </w:p>
    <w:p>
      <w:pPr>
        <w:adjustRightInd w:val="0"/>
        <w:snapToGrid w:val="0"/>
        <w:spacing w:line="500" w:lineRule="exact"/>
        <w:ind w:firstLine="2800" w:firstLineChars="1000"/>
        <w:rPr>
          <w:rFonts w:cs="仿宋" w:asciiTheme="minorEastAsia" w:hAnsiTheme="minorEastAsia" w:eastAsiaTheme="minorEastAsia"/>
          <w:sz w:val="28"/>
          <w:szCs w:val="28"/>
        </w:rPr>
      </w:pPr>
    </w:p>
    <w:p>
      <w:pPr>
        <w:adjustRightInd w:val="0"/>
        <w:snapToGrid w:val="0"/>
        <w:spacing w:line="500" w:lineRule="exact"/>
        <w:ind w:firstLine="2800" w:firstLineChars="1000"/>
        <w:rPr>
          <w:rFonts w:cs="仿宋" w:asciiTheme="minorEastAsia" w:hAnsiTheme="minorEastAsia" w:eastAsiaTheme="minorEastAsia"/>
          <w:sz w:val="28"/>
          <w:szCs w:val="28"/>
        </w:rPr>
      </w:pPr>
    </w:p>
    <w:p>
      <w:pPr>
        <w:adjustRightInd w:val="0"/>
        <w:snapToGrid w:val="0"/>
        <w:spacing w:line="500" w:lineRule="exact"/>
        <w:ind w:firstLine="2800" w:firstLineChars="1000"/>
        <w:rPr>
          <w:rFonts w:cs="仿宋" w:asciiTheme="minorEastAsia" w:hAnsiTheme="minorEastAsia" w:eastAsiaTheme="minorEastAsia"/>
          <w:sz w:val="28"/>
          <w:szCs w:val="28"/>
        </w:rPr>
      </w:pPr>
    </w:p>
    <w:p>
      <w:pPr>
        <w:adjustRightInd w:val="0"/>
        <w:snapToGrid w:val="0"/>
        <w:spacing w:line="500" w:lineRule="exact"/>
        <w:ind w:firstLine="2800" w:firstLineChars="1000"/>
        <w:rPr>
          <w:rFonts w:cs="仿宋" w:asciiTheme="minorEastAsia" w:hAnsiTheme="minorEastAsia" w:eastAsiaTheme="minorEastAsia"/>
          <w:sz w:val="28"/>
          <w:szCs w:val="28"/>
        </w:rPr>
      </w:pPr>
    </w:p>
    <w:p>
      <w:pPr>
        <w:adjustRightInd w:val="0"/>
        <w:snapToGrid w:val="0"/>
        <w:spacing w:line="500" w:lineRule="exact"/>
        <w:ind w:firstLine="2800" w:firstLineChars="1000"/>
        <w:rPr>
          <w:rFonts w:cs="仿宋" w:asciiTheme="minorEastAsia" w:hAnsiTheme="minorEastAsia" w:eastAsiaTheme="minorEastAsia"/>
          <w:sz w:val="28"/>
          <w:szCs w:val="28"/>
        </w:rPr>
      </w:pPr>
    </w:p>
    <w:p>
      <w:pPr>
        <w:adjustRightInd w:val="0"/>
        <w:snapToGrid w:val="0"/>
        <w:spacing w:line="500" w:lineRule="exact"/>
        <w:ind w:firstLine="2800" w:firstLineChars="1000"/>
        <w:rPr>
          <w:rFonts w:cs="仿宋" w:asciiTheme="minorEastAsia" w:hAnsiTheme="minorEastAsia" w:eastAsiaTheme="minorEastAsia"/>
          <w:sz w:val="28"/>
          <w:szCs w:val="28"/>
        </w:rPr>
      </w:pPr>
    </w:p>
    <w:p>
      <w:pPr>
        <w:adjustRightInd w:val="0"/>
        <w:snapToGrid w:val="0"/>
        <w:spacing w:line="500" w:lineRule="exact"/>
        <w:ind w:firstLine="2800" w:firstLineChars="1000"/>
        <w:rPr>
          <w:rFonts w:cs="仿宋" w:asciiTheme="minorEastAsia" w:hAnsiTheme="minorEastAsia" w:eastAsiaTheme="minorEastAsia"/>
          <w:sz w:val="28"/>
          <w:szCs w:val="28"/>
        </w:rPr>
      </w:pPr>
    </w:p>
    <w:p>
      <w:pPr>
        <w:adjustRightInd w:val="0"/>
        <w:snapToGrid w:val="0"/>
        <w:spacing w:line="500" w:lineRule="exact"/>
        <w:ind w:firstLine="2800" w:firstLineChars="1000"/>
        <w:rPr>
          <w:rFonts w:cs="仿宋" w:asciiTheme="minorEastAsia" w:hAnsiTheme="minorEastAsia" w:eastAsiaTheme="minorEastAsia"/>
          <w:sz w:val="28"/>
          <w:szCs w:val="28"/>
        </w:rPr>
      </w:pPr>
    </w:p>
    <w:p>
      <w:pPr>
        <w:adjustRightInd w:val="0"/>
        <w:snapToGrid w:val="0"/>
        <w:spacing w:line="500" w:lineRule="exact"/>
        <w:ind w:firstLine="2800" w:firstLineChars="1000"/>
        <w:rPr>
          <w:rFonts w:cs="仿宋" w:asciiTheme="minorEastAsia" w:hAnsiTheme="minorEastAsia" w:eastAsiaTheme="minorEastAsia"/>
          <w:sz w:val="28"/>
          <w:szCs w:val="28"/>
        </w:rPr>
      </w:pPr>
    </w:p>
    <w:p>
      <w:pPr>
        <w:adjustRightInd w:val="0"/>
        <w:snapToGrid w:val="0"/>
        <w:spacing w:line="500" w:lineRule="exact"/>
        <w:ind w:firstLine="2800" w:firstLineChars="1000"/>
        <w:rPr>
          <w:rFonts w:cs="仿宋" w:asciiTheme="minorEastAsia" w:hAnsiTheme="minorEastAsia" w:eastAsiaTheme="minorEastAsia"/>
          <w:sz w:val="28"/>
          <w:szCs w:val="28"/>
        </w:rPr>
      </w:pPr>
    </w:p>
    <w:p>
      <w:pPr>
        <w:adjustRightInd w:val="0"/>
        <w:snapToGrid w:val="0"/>
        <w:spacing w:line="500" w:lineRule="exact"/>
        <w:ind w:firstLine="2800" w:firstLineChars="1000"/>
        <w:rPr>
          <w:rFonts w:cs="仿宋" w:asciiTheme="minorEastAsia" w:hAnsiTheme="minorEastAsia" w:eastAsiaTheme="minorEastAsia"/>
          <w:sz w:val="28"/>
          <w:szCs w:val="28"/>
        </w:rPr>
      </w:pPr>
    </w:p>
    <w:p>
      <w:pPr>
        <w:adjustRightInd w:val="0"/>
        <w:snapToGrid w:val="0"/>
        <w:spacing w:line="500" w:lineRule="exact"/>
        <w:ind w:firstLine="3080" w:firstLineChars="1100"/>
        <w:rPr>
          <w:rFonts w:cs="仿宋" w:asciiTheme="minorEastAsia" w:hAnsiTheme="minorEastAsia" w:eastAsiaTheme="minorEastAsia"/>
          <w:sz w:val="28"/>
          <w:szCs w:val="28"/>
        </w:rPr>
      </w:pPr>
    </w:p>
    <w:p>
      <w:pPr>
        <w:adjustRightInd w:val="0"/>
        <w:snapToGrid w:val="0"/>
        <w:spacing w:line="500" w:lineRule="exact"/>
        <w:ind w:firstLine="3080" w:firstLineChars="1100"/>
        <w:rPr>
          <w:rFonts w:cs="仿宋" w:asciiTheme="minorEastAsia" w:hAnsiTheme="minorEastAsia" w:eastAsiaTheme="minorEastAsia"/>
          <w:sz w:val="28"/>
          <w:szCs w:val="28"/>
        </w:rPr>
      </w:pPr>
    </w:p>
    <w:p>
      <w:pPr>
        <w:adjustRightInd w:val="0"/>
        <w:snapToGrid w:val="0"/>
        <w:spacing w:line="500" w:lineRule="exact"/>
        <w:ind w:firstLine="3080" w:firstLineChars="1100"/>
        <w:rPr>
          <w:rFonts w:cs="仿宋" w:asciiTheme="minorEastAsia" w:hAnsiTheme="minorEastAsia" w:eastAsiaTheme="minorEastAsia"/>
          <w:sz w:val="28"/>
          <w:szCs w:val="28"/>
        </w:rPr>
      </w:pPr>
    </w:p>
    <w:p>
      <w:pPr>
        <w:adjustRightInd w:val="0"/>
        <w:snapToGrid w:val="0"/>
        <w:spacing w:line="500" w:lineRule="exact"/>
        <w:ind w:firstLine="3080" w:firstLineChars="1100"/>
        <w:rPr>
          <w:rFonts w:cs="仿宋" w:asciiTheme="minorEastAsia" w:hAnsiTheme="minorEastAsia" w:eastAsiaTheme="minorEastAsia"/>
          <w:sz w:val="28"/>
          <w:szCs w:val="28"/>
        </w:rPr>
      </w:pPr>
    </w:p>
    <w:p>
      <w:pPr>
        <w:adjustRightInd w:val="0"/>
        <w:snapToGrid w:val="0"/>
        <w:spacing w:line="500" w:lineRule="exact"/>
        <w:ind w:firstLine="3080" w:firstLineChars="1100"/>
        <w:rPr>
          <w:rFonts w:cs="仿宋" w:asciiTheme="minorEastAsia" w:hAnsiTheme="minorEastAsia" w:eastAsiaTheme="minorEastAsia"/>
          <w:sz w:val="28"/>
          <w:szCs w:val="28"/>
        </w:rPr>
      </w:pPr>
    </w:p>
    <w:p>
      <w:pPr>
        <w:adjustRightInd w:val="0"/>
        <w:snapToGrid w:val="0"/>
        <w:spacing w:line="500" w:lineRule="exact"/>
        <w:ind w:firstLine="3080" w:firstLineChars="1100"/>
        <w:rPr>
          <w:rFonts w:cs="仿宋" w:asciiTheme="minorEastAsia" w:hAnsiTheme="minorEastAsia" w:eastAsiaTheme="minorEastAsia"/>
          <w:bCs/>
          <w:sz w:val="28"/>
          <w:szCs w:val="28"/>
        </w:rPr>
      </w:pPr>
      <w:r>
        <w:rPr>
          <w:rFonts w:hint="eastAsia" w:cs="仿宋" w:asciiTheme="minorEastAsia" w:hAnsiTheme="minorEastAsia" w:eastAsiaTheme="minorEastAsia"/>
          <w:sz w:val="28"/>
          <w:szCs w:val="28"/>
        </w:rPr>
        <w:t>第二部分  响应须知</w:t>
      </w:r>
      <w:bookmarkEnd w:id="15"/>
      <w:bookmarkEnd w:id="16"/>
    </w:p>
    <w:p>
      <w:pPr>
        <w:widowControl/>
        <w:adjustRightInd w:val="0"/>
        <w:snapToGrid w:val="0"/>
        <w:spacing w:line="500" w:lineRule="exact"/>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一、总则</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17" w:name="_Toc458694821"/>
      <w:bookmarkStart w:id="18" w:name="_Toc20823276"/>
      <w:bookmarkStart w:id="19" w:name="_Toc16938520"/>
      <w:bookmarkStart w:id="20" w:name="_Toc513029204"/>
      <w:r>
        <w:rPr>
          <w:rFonts w:hint="eastAsia" w:cs="仿宋" w:asciiTheme="minorEastAsia" w:hAnsiTheme="minorEastAsia" w:eastAsiaTheme="minorEastAsia"/>
          <w:sz w:val="28"/>
          <w:szCs w:val="28"/>
        </w:rPr>
        <w:t>1</w:t>
      </w:r>
      <w:bookmarkEnd w:id="17"/>
      <w:r>
        <w:rPr>
          <w:rFonts w:hint="eastAsia" w:cs="仿宋" w:asciiTheme="minorEastAsia" w:hAnsiTheme="minorEastAsia" w:eastAsiaTheme="minorEastAsia"/>
          <w:sz w:val="28"/>
          <w:szCs w:val="28"/>
        </w:rPr>
        <w:t>.采购方式</w:t>
      </w:r>
      <w:bookmarkEnd w:id="18"/>
      <w:bookmarkEnd w:id="19"/>
      <w:bookmarkEnd w:id="20"/>
    </w:p>
    <w:p>
      <w:pPr>
        <w:adjustRightInd w:val="0"/>
        <w:snapToGrid w:val="0"/>
        <w:spacing w:line="500" w:lineRule="exact"/>
        <w:ind w:firstLine="840" w:firstLineChars="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本次采购采取询价方式，本询价文件仅适用于询价公告中所述项目。</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21" w:name="_Toc513029205"/>
      <w:bookmarkStart w:id="22" w:name="_Toc16938521"/>
      <w:bookmarkStart w:id="23" w:name="_Toc20823277"/>
      <w:r>
        <w:rPr>
          <w:rFonts w:hint="eastAsia" w:cs="仿宋" w:asciiTheme="minorEastAsia" w:hAnsiTheme="minorEastAsia" w:eastAsiaTheme="minorEastAsia"/>
          <w:sz w:val="28"/>
          <w:szCs w:val="28"/>
        </w:rPr>
        <w:t>2.合格的</w:t>
      </w:r>
      <w:bookmarkEnd w:id="21"/>
      <w:bookmarkEnd w:id="22"/>
      <w:bookmarkEnd w:id="23"/>
      <w:r>
        <w:rPr>
          <w:rFonts w:hint="eastAsia" w:cs="仿宋" w:asciiTheme="minorEastAsia" w:hAnsiTheme="minorEastAsia" w:eastAsiaTheme="minorEastAsia"/>
          <w:sz w:val="28"/>
          <w:szCs w:val="28"/>
        </w:rPr>
        <w:t>响应供应商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2.1满足询价公告中供应商的资格要求的规定。</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2.2 满足本文件实质性条款的规定。</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24" w:name="_Toc20823278"/>
      <w:bookmarkStart w:id="25" w:name="_Toc513029206"/>
      <w:bookmarkStart w:id="26" w:name="_Toc16938522"/>
      <w:r>
        <w:rPr>
          <w:rFonts w:hint="eastAsia" w:cs="仿宋" w:asciiTheme="minorEastAsia" w:hAnsiTheme="minorEastAsia" w:eastAsiaTheme="minorEastAsia"/>
          <w:sz w:val="28"/>
          <w:szCs w:val="28"/>
        </w:rPr>
        <w:t>3.适用法律</w:t>
      </w:r>
      <w:bookmarkEnd w:id="24"/>
      <w:bookmarkEnd w:id="25"/>
      <w:bookmarkEnd w:id="26"/>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本次询价采购及由此产生的合同受中华人民共和国有关的法律法规制约和保护。</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27" w:name="_Toc513029207"/>
      <w:bookmarkStart w:id="28" w:name="_Toc20823279"/>
      <w:bookmarkStart w:id="29" w:name="_Toc462564067"/>
      <w:bookmarkStart w:id="30" w:name="_Toc16938523"/>
      <w:r>
        <w:rPr>
          <w:rFonts w:hint="eastAsia" w:cs="仿宋" w:asciiTheme="minorEastAsia" w:hAnsiTheme="minorEastAsia" w:eastAsiaTheme="minorEastAsia"/>
          <w:sz w:val="28"/>
          <w:szCs w:val="28"/>
        </w:rPr>
        <w:t>4.响应费用</w:t>
      </w:r>
      <w:bookmarkEnd w:id="27"/>
      <w:bookmarkEnd w:id="28"/>
      <w:bookmarkEnd w:id="29"/>
      <w:bookmarkEnd w:id="30"/>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响应供应商应自行承担所有与参加响应有关的费用，无论响应过程中的做法和结果如何，采购人在任何情况下均无义务和责任承担这些费用。</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5.采购文件的约束力</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响应供应商一旦参加本项目采购活动，即被认为接受了本询价采购文件的规定和约束。</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6.采购文件的解释</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本采购文件仅适用于本次询价采购。</w:t>
      </w:r>
    </w:p>
    <w:p>
      <w:pPr>
        <w:adjustRightInd w:val="0"/>
        <w:snapToGrid w:val="0"/>
        <w:spacing w:line="500" w:lineRule="exact"/>
        <w:ind w:firstLine="560" w:firstLineChars="200"/>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7.报价要求</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7.1投标供应商根据需要自行踏勘项目现场,踏勘现场所发生的费用及安全自行承担。</w:t>
      </w:r>
    </w:p>
    <w:p>
      <w:pPr>
        <w:spacing w:line="56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7.2本项目为固定单价合同。供应商应按照询价文件的要求编制报价文件，报价文件应对询价文件提出的要求和条件作出实质性响应。否则，均被视为无效投标文件。本次报价包括全部货物和服务所发生的费用，包括但不限于全部货物及辅材的提供、产品制造、质保期内易损件、备品备件、材料、辅材及产品运输、装卸、搬运、保管、检验、包装、运输保险费、调试费、技术服务支持、保修期内维保服务等相关费用、利润、税金、验收费、全部产品通过验收并交付使用及保修等一切费用，以及供应商认为需要的其他费用等。供应商报价时应充分考虑现场环境以及国家政策性调整等风险因素，在合同实施期间，供应商所报的单价在合同实施期间不因市场变化因素而变动，最终根据实际采购数量按固定单价结算。</w:t>
      </w:r>
    </w:p>
    <w:p>
      <w:pPr>
        <w:spacing w:line="56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w:t>
      </w:r>
      <w:r>
        <w:rPr>
          <w:rFonts w:hint="eastAsia" w:cs="仿宋" w:asciiTheme="minorEastAsia" w:hAnsiTheme="minorEastAsia" w:eastAsiaTheme="minorEastAsia"/>
          <w:sz w:val="28"/>
          <w:szCs w:val="28"/>
          <w:lang w:val="en-US" w:eastAsia="zh-CN"/>
        </w:rPr>
        <w:t>3</w:t>
      </w:r>
      <w:r>
        <w:rPr>
          <w:rFonts w:hint="eastAsia" w:cs="仿宋" w:asciiTheme="minorEastAsia" w:hAnsiTheme="minorEastAsia" w:eastAsiaTheme="minorEastAsia"/>
          <w:sz w:val="28"/>
          <w:szCs w:val="28"/>
        </w:rPr>
        <w:t>采购人不接受任何可选择的报价，成交供应商不得在供货期间提出任何增加费用的要求。请各供应商在报价时充分考虑各种因素。</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w:t>
      </w:r>
      <w:r>
        <w:rPr>
          <w:rFonts w:hint="eastAsia" w:cs="仿宋" w:asciiTheme="minorEastAsia" w:hAnsiTheme="minorEastAsia" w:eastAsiaTheme="minorEastAsia"/>
          <w:sz w:val="28"/>
          <w:szCs w:val="28"/>
          <w:lang w:val="en-US" w:eastAsia="zh-CN"/>
        </w:rPr>
        <w:t>4</w:t>
      </w:r>
      <w:r>
        <w:rPr>
          <w:rFonts w:hint="eastAsia" w:cs="仿宋" w:asciiTheme="minorEastAsia" w:hAnsiTheme="minorEastAsia" w:eastAsiaTheme="minorEastAsia"/>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widowControl/>
        <w:adjustRightInd w:val="0"/>
        <w:snapToGrid w:val="0"/>
        <w:spacing w:line="500" w:lineRule="exact"/>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二、采购文件</w:t>
      </w:r>
    </w:p>
    <w:p>
      <w:pPr>
        <w:widowControl/>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1.采购文件的构成</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 采购文件由以下部分组成：</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（1）询价采购公告</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（2）响应须知</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（3）项目需求</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（4）响应文件组成</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（5）附件</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请响应供应商仔细检查采购文件是否齐全，如有缺漏请立即采购人联系解决。</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1.2</w:t>
      </w:r>
      <w:r>
        <w:rPr>
          <w:rFonts w:hint="eastAsia" w:cs="仿宋" w:asciiTheme="minorEastAsia" w:hAnsiTheme="minorEastAsia" w:eastAsiaTheme="minorEastAsia"/>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2.询价采购文件的澄清</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任何要求对采购文件进行澄清的响应供应商，应在响应截止期3日前按询价采购公告中的通讯地址，以书面形式通知采购人。采购人有权对发出的采购文件进行必要的澄清或修改。</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31" w:name="_Toc462564071"/>
      <w:bookmarkStart w:id="32" w:name="_Toc16938528"/>
      <w:bookmarkStart w:id="33" w:name="_Toc513029212"/>
      <w:bookmarkStart w:id="34" w:name="_Toc20823284"/>
      <w:r>
        <w:rPr>
          <w:rFonts w:hint="eastAsia" w:cs="仿宋" w:asciiTheme="minorEastAsia" w:hAnsiTheme="minorEastAsia" w:eastAsiaTheme="minorEastAsia"/>
          <w:sz w:val="28"/>
          <w:szCs w:val="28"/>
        </w:rPr>
        <w:t>3.询价采购文件的修改</w:t>
      </w:r>
      <w:bookmarkEnd w:id="31"/>
      <w:bookmarkEnd w:id="32"/>
      <w:bookmarkEnd w:id="33"/>
      <w:bookmarkEnd w:id="34"/>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3.1</w:t>
      </w:r>
      <w:r>
        <w:rPr>
          <w:rFonts w:hint="eastAsia" w:cs="仿宋" w:asciiTheme="minorEastAsia" w:hAnsiTheme="minorEastAsia" w:eastAsiaTheme="minorEastAsia"/>
          <w:sz w:val="28"/>
          <w:szCs w:val="28"/>
        </w:rPr>
        <w:t>在响应截止时间前，采购人可以对采购文件进行修改。</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3.2 采购人</w:t>
      </w:r>
      <w:r>
        <w:rPr>
          <w:rFonts w:hint="eastAsia" w:cs="仿宋" w:asciiTheme="minorEastAsia" w:hAnsiTheme="minorEastAsia" w:eastAsiaTheme="minorEastAsia"/>
          <w:sz w:val="28"/>
          <w:szCs w:val="28"/>
        </w:rPr>
        <w:t>有权按照法定的要求推迟响应截止日期和开标日期。</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 xml:space="preserve">3.3 </w:t>
      </w:r>
      <w:r>
        <w:rPr>
          <w:rFonts w:hint="eastAsia" w:cs="仿宋" w:asciiTheme="minorEastAsia" w:hAnsiTheme="minorEastAsia" w:eastAsiaTheme="minorEastAsia"/>
          <w:sz w:val="28"/>
          <w:szCs w:val="28"/>
        </w:rPr>
        <w:t>采购文件的修改将在启东市人民政府网站公布，补充文件将作为采购文件的组成部分，并对响应供应商具有约束力，请供应商及时关注网站公告信息。</w:t>
      </w:r>
    </w:p>
    <w:p>
      <w:pPr>
        <w:widowControl/>
        <w:adjustRightInd w:val="0"/>
        <w:snapToGrid w:val="0"/>
        <w:spacing w:line="500" w:lineRule="exact"/>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三、响应文件的编制</w:t>
      </w:r>
    </w:p>
    <w:p>
      <w:pPr>
        <w:adjustRightInd w:val="0"/>
        <w:snapToGrid w:val="0"/>
        <w:spacing w:line="500" w:lineRule="exact"/>
        <w:ind w:firstLine="560" w:firstLineChars="200"/>
        <w:rPr>
          <w:rFonts w:cs="仿宋" w:asciiTheme="minorEastAsia" w:hAnsiTheme="minorEastAsia" w:eastAsiaTheme="minorEastAsia"/>
          <w:bCs/>
          <w:sz w:val="28"/>
          <w:szCs w:val="28"/>
        </w:rPr>
      </w:pPr>
      <w:bookmarkStart w:id="35" w:name="_Toc513029214"/>
      <w:bookmarkStart w:id="36" w:name="_Toc20823286"/>
      <w:bookmarkStart w:id="37" w:name="_Toc462564073"/>
      <w:bookmarkStart w:id="38" w:name="_Toc16938530"/>
      <w:r>
        <w:rPr>
          <w:rFonts w:hint="eastAsia" w:cs="仿宋" w:asciiTheme="minorEastAsia" w:hAnsiTheme="minorEastAsia" w:eastAsiaTheme="minorEastAsia"/>
          <w:bCs/>
          <w:sz w:val="28"/>
          <w:szCs w:val="28"/>
        </w:rPr>
        <w:t>1.响应文件的语言及度量衡单位</w:t>
      </w:r>
      <w:bookmarkEnd w:id="35"/>
      <w:bookmarkEnd w:id="36"/>
      <w:bookmarkEnd w:id="37"/>
      <w:bookmarkEnd w:id="38"/>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1.1 响应供应商提交的响应文件以及响应供应商与采购人就有关响应的所有来往通知、函件和文件均应使用简体中文。</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1.2 除技术性能另有规定外，响应文件所使用的度量衡单位，均须采用国家法定计量单位。</w:t>
      </w:r>
    </w:p>
    <w:p>
      <w:pPr>
        <w:adjustRightInd w:val="0"/>
        <w:snapToGrid w:val="0"/>
        <w:spacing w:line="500" w:lineRule="exact"/>
        <w:ind w:firstLine="560" w:firstLineChars="200"/>
        <w:rPr>
          <w:rFonts w:cs="仿宋" w:asciiTheme="minorEastAsia" w:hAnsiTheme="minorEastAsia" w:eastAsiaTheme="minorEastAsia"/>
          <w:bCs/>
          <w:sz w:val="28"/>
          <w:szCs w:val="28"/>
        </w:rPr>
      </w:pPr>
      <w:bookmarkStart w:id="39" w:name="_Toc20823287"/>
      <w:bookmarkStart w:id="40" w:name="_Toc513029215"/>
      <w:bookmarkStart w:id="41" w:name="_Toc462564074"/>
      <w:bookmarkStart w:id="42" w:name="_Toc16938531"/>
      <w:r>
        <w:rPr>
          <w:rFonts w:hint="eastAsia" w:cs="仿宋" w:asciiTheme="minorEastAsia" w:hAnsiTheme="minorEastAsia" w:eastAsiaTheme="minorEastAsia"/>
          <w:bCs/>
          <w:sz w:val="28"/>
          <w:szCs w:val="28"/>
        </w:rPr>
        <w:t>2.响应文件构成</w:t>
      </w:r>
      <w:bookmarkEnd w:id="39"/>
      <w:bookmarkEnd w:id="40"/>
      <w:bookmarkEnd w:id="41"/>
      <w:bookmarkEnd w:id="42"/>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响应供应商应按“第四部分响应文件组成”要求编写响应文件。</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43" w:name="_Hlt26668975"/>
      <w:bookmarkEnd w:id="43"/>
      <w:bookmarkStart w:id="44" w:name="_Hlt26670360"/>
      <w:bookmarkEnd w:id="44"/>
      <w:bookmarkStart w:id="45" w:name="_Hlt26954838"/>
      <w:bookmarkEnd w:id="45"/>
      <w:bookmarkStart w:id="46" w:name="_Toc14577360"/>
      <w:bookmarkStart w:id="47" w:name="_Toc49090511"/>
      <w:r>
        <w:rPr>
          <w:rFonts w:hint="eastAsia" w:cs="仿宋" w:asciiTheme="minorEastAsia" w:hAnsiTheme="minorEastAsia" w:eastAsiaTheme="minorEastAsia"/>
          <w:sz w:val="28"/>
          <w:szCs w:val="28"/>
        </w:rPr>
        <w:t>3.</w:t>
      </w:r>
      <w:r>
        <w:rPr>
          <w:rFonts w:hint="eastAsia" w:cs="仿宋" w:asciiTheme="minorEastAsia" w:hAnsiTheme="minorEastAsia" w:eastAsiaTheme="minorEastAsia"/>
          <w:bCs/>
          <w:sz w:val="28"/>
          <w:szCs w:val="28"/>
        </w:rPr>
        <w:t>响应</w:t>
      </w:r>
      <w:r>
        <w:rPr>
          <w:rFonts w:hint="eastAsia" w:cs="仿宋" w:asciiTheme="minorEastAsia" w:hAnsiTheme="minorEastAsia" w:eastAsiaTheme="minorEastAsia"/>
          <w:sz w:val="28"/>
          <w:szCs w:val="28"/>
        </w:rPr>
        <w:t>文件的密封、签署、提交</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3.1</w:t>
      </w:r>
      <w:r>
        <w:rPr>
          <w:rFonts w:hint="eastAsia" w:cs="仿宋" w:asciiTheme="minorEastAsia" w:hAnsiTheme="minorEastAsia" w:eastAsiaTheme="minorEastAsia"/>
          <w:bCs/>
          <w:sz w:val="28"/>
          <w:szCs w:val="28"/>
        </w:rPr>
        <w:t>响应</w:t>
      </w:r>
      <w:r>
        <w:rPr>
          <w:rFonts w:hint="eastAsia" w:cs="仿宋" w:asciiTheme="minorEastAsia" w:hAnsiTheme="minorEastAsia" w:eastAsiaTheme="minorEastAsia"/>
          <w:sz w:val="28"/>
          <w:szCs w:val="28"/>
        </w:rPr>
        <w:t>文件必须提供1份正本1份副本。</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3.2</w:t>
      </w:r>
      <w:r>
        <w:rPr>
          <w:rFonts w:hint="eastAsia" w:cs="仿宋" w:asciiTheme="minorEastAsia" w:hAnsiTheme="minorEastAsia" w:eastAsiaTheme="minorEastAsia"/>
          <w:bCs/>
          <w:sz w:val="28"/>
          <w:szCs w:val="28"/>
        </w:rPr>
        <w:t>响应</w:t>
      </w:r>
      <w:r>
        <w:rPr>
          <w:rFonts w:hint="eastAsia" w:cs="仿宋" w:asciiTheme="minorEastAsia" w:hAnsiTheme="minorEastAsia" w:eastAsiaTheme="minorEastAsia"/>
          <w:sz w:val="28"/>
          <w:szCs w:val="28"/>
        </w:rPr>
        <w:t>文件统一邮寄（只接收顺丰）递交（不接受到付）。</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3.3</w:t>
      </w:r>
      <w:r>
        <w:rPr>
          <w:rFonts w:hint="eastAsia" w:cs="仿宋" w:asciiTheme="minorEastAsia" w:hAnsiTheme="minorEastAsia" w:eastAsiaTheme="minorEastAsia"/>
          <w:bCs/>
          <w:sz w:val="28"/>
          <w:szCs w:val="28"/>
        </w:rPr>
        <w:t>响应</w:t>
      </w:r>
      <w:r>
        <w:rPr>
          <w:rFonts w:hint="eastAsia" w:cs="仿宋" w:asciiTheme="minorEastAsia" w:hAnsiTheme="minorEastAsia" w:eastAsiaTheme="minorEastAsia"/>
          <w:sz w:val="28"/>
          <w:szCs w:val="28"/>
        </w:rPr>
        <w:t>文件均需采用A4纸（图纸等除外）打印并装订成册，不允许使用活页夹、拉杆夹、文件夹、塑料方便式书脊（插入式或穿孔式）装订，并应在</w:t>
      </w:r>
      <w:r>
        <w:rPr>
          <w:rFonts w:hint="eastAsia" w:cs="仿宋" w:asciiTheme="minorEastAsia" w:hAnsiTheme="minorEastAsia" w:eastAsiaTheme="minorEastAsia"/>
          <w:bCs/>
          <w:sz w:val="28"/>
          <w:szCs w:val="28"/>
        </w:rPr>
        <w:t>响应</w:t>
      </w:r>
      <w:r>
        <w:rPr>
          <w:rFonts w:hint="eastAsia" w:cs="仿宋" w:asciiTheme="minorEastAsia" w:hAnsiTheme="minorEastAsia" w:eastAsiaTheme="minorEastAsia"/>
          <w:sz w:val="28"/>
          <w:szCs w:val="28"/>
        </w:rPr>
        <w:t>文件封面的右上角清楚地注明“正本”或“副本”。正本和副本如有不一致之处，以正本为准。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3.4响应供应商应在响应文件密封袋上标明：采购人名称、项目名称、供应商名称、响应文件名称。</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3.5所有响应文件密封袋的封口处均应加盖供应商印章。</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3.6如果响应供应商未按上述要求装订密封及加写标记，将作无效响应文件处理。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4.响应文件的盖章要求</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4.1响应文件必须加盖骑缝章或每页盖章。</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4.2响应文件如有修改、行间内插字和增删，修改处应由响应供应商加盖印章。</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5.响应有效期</w:t>
      </w:r>
      <w:bookmarkEnd w:id="46"/>
      <w:bookmarkEnd w:id="47"/>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sz w:val="28"/>
          <w:szCs w:val="28"/>
        </w:rPr>
        <w:t>响应文件和响应供应商法定代表人或其授权委托人签署的文件、资料的有效期为自开标之日起60个日历日。</w:t>
      </w:r>
      <w:r>
        <w:rPr>
          <w:rFonts w:hint="eastAsia" w:cs="仿宋" w:asciiTheme="minorEastAsia" w:hAnsiTheme="minorEastAsia" w:eastAsiaTheme="minorEastAsia"/>
          <w:bCs/>
          <w:sz w:val="28"/>
          <w:szCs w:val="28"/>
        </w:rPr>
        <w:t>响应有效期比规定短的将被视为非响应性响应而予以拒绝。</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6.响应有效期的延长</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pPr>
        <w:widowControl/>
        <w:adjustRightInd w:val="0"/>
        <w:snapToGrid w:val="0"/>
        <w:spacing w:line="500" w:lineRule="exact"/>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四、响应文件的递交</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1.响应文件的递交</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1.1响应供应商应当在响应文件提交截止时间前提交按照采购文件要求密封的响应文件。</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1.2响应文件的内容不清楚或不清晰的，造成无法评审或部分影响评审的，导致评审差错的，责任由供应商自负。</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2.响应截止日期</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48" w:name="_Toc16938543"/>
      <w:bookmarkStart w:id="49" w:name="_Toc20823299"/>
      <w:bookmarkStart w:id="50" w:name="_Toc513029227"/>
      <w:r>
        <w:rPr>
          <w:rFonts w:hint="eastAsia" w:cs="仿宋" w:asciiTheme="minorEastAsia" w:hAnsiTheme="minorEastAsia" w:eastAsiaTheme="minorEastAsia"/>
          <w:sz w:val="28"/>
          <w:szCs w:val="28"/>
        </w:rPr>
        <w:t>2.1 响应供应商提交的响应文件的时间不得迟于采购公告中规定的响应文件提交截止时间。</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2.2 采购人可以按照规定，通过修改响应文件酌情延长响应文件提交截止日期，在此情况下，响应供应商的所有权利和义务以及响应供应商受制的截止日期均应以延长后新的截止日期为准。</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3.响应文件</w:t>
      </w:r>
      <w:bookmarkEnd w:id="48"/>
      <w:bookmarkEnd w:id="49"/>
      <w:bookmarkEnd w:id="50"/>
      <w:r>
        <w:rPr>
          <w:rFonts w:hint="eastAsia" w:cs="仿宋" w:asciiTheme="minorEastAsia" w:hAnsiTheme="minorEastAsia" w:eastAsiaTheme="minorEastAsia"/>
          <w:bCs/>
          <w:sz w:val="28"/>
          <w:szCs w:val="28"/>
        </w:rPr>
        <w:t>的拒收</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51" w:name="_Toc20823300"/>
      <w:bookmarkStart w:id="52" w:name="_Toc16938544"/>
      <w:bookmarkStart w:id="53" w:name="_Toc513029228"/>
      <w:r>
        <w:rPr>
          <w:rFonts w:hint="eastAsia" w:cs="仿宋" w:asciiTheme="minorEastAsia" w:hAnsiTheme="minorEastAsia" w:eastAsiaTheme="minorEastAsia"/>
          <w:sz w:val="28"/>
          <w:szCs w:val="28"/>
        </w:rPr>
        <w:t>采购人拒绝接收未按照采购文件要求密封的响应文件，拒绝接收在响应文件接收截止时间后送达的响应文件。</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4.响应文件的修改</w:t>
      </w:r>
      <w:bookmarkEnd w:id="51"/>
      <w:bookmarkEnd w:id="52"/>
      <w:bookmarkEnd w:id="53"/>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4.1 在响应文件提交截止时间之后，响应供应商不得对其响应文件作任何修改。</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4.2 在响应文件提交截止时间至采购文件中规定的响应有效期满之间的这段时间内，响应供应商不得撤回其响应。</w:t>
      </w:r>
    </w:p>
    <w:p>
      <w:pPr>
        <w:adjustRightInd w:val="0"/>
        <w:snapToGrid w:val="0"/>
        <w:spacing w:line="500" w:lineRule="exact"/>
        <w:jc w:val="left"/>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五、询价采购程序</w:t>
      </w:r>
    </w:p>
    <w:p>
      <w:pPr>
        <w:adjustRightInd w:val="0"/>
        <w:snapToGrid w:val="0"/>
        <w:spacing w:line="500" w:lineRule="exact"/>
        <w:ind w:firstLine="42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1.询价小组</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 开标后，采购人将立即组织询价小组进行评标。</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1.2 询价小组由采购人代表组成，且人员构成符合政府采购有关规定。</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1.3询价小组应当按照客观、公正、审慎的原则评审响应供应商的响应文件。</w:t>
      </w:r>
    </w:p>
    <w:p>
      <w:pPr>
        <w:adjustRightInd w:val="0"/>
        <w:snapToGrid w:val="0"/>
        <w:spacing w:line="500" w:lineRule="exact"/>
        <w:ind w:firstLine="42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2.响应的澄清</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2.1评审期间，为有助于对响应文件的审查、评价和比较，询价小组有权要求供应商对其响应文件进行澄清，但并非对每个供应商都作澄清要求。</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2.2接到询价小组澄清要求的供应商应派人按询价小组规定的时间和格式作出澄清，澄清的内容作为响应文件的补充部分，但响应的价格和实质性的内容不得做任何更改。</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2.3 接到询价小组澄清要求的供应商如未按规定做出澄清，其风险由供应商自行承担。</w:t>
      </w:r>
    </w:p>
    <w:p>
      <w:pPr>
        <w:adjustRightInd w:val="0"/>
        <w:snapToGrid w:val="0"/>
        <w:spacing w:line="500" w:lineRule="exact"/>
        <w:ind w:firstLine="42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3.对响应文件的初审</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3.1响应文件初审分为资格性检查和符合性检查。</w:t>
      </w:r>
    </w:p>
    <w:p>
      <w:pPr>
        <w:numPr>
          <w:ilvl w:val="0"/>
          <w:numId w:val="1"/>
        </w:num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资格性检查：依据法律法规和采购文件的规定，对响应文件中的资格证明文件等进行审查，以确定供应商是否具备参加询价的资格。</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资格性审查未通过的响应供应商作无效响应处理。</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（3）未通过资格性审查或符合性审查的响应供应商采购单位将告知其未通过资格性审查或符合性审查的原因。</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3.2</w:t>
      </w:r>
      <w:r>
        <w:rPr>
          <w:rFonts w:hint="eastAsia" w:cs="仿宋" w:asciiTheme="minorEastAsia" w:hAnsiTheme="minorEastAsia" w:eastAsiaTheme="minorEastAsia"/>
          <w:bCs/>
          <w:sz w:val="28"/>
          <w:szCs w:val="28"/>
        </w:rPr>
        <w:t>询价小组将对确定为实质性响应的响应进行进一步审核，看其是否有计算</w:t>
      </w:r>
      <w:r>
        <w:rPr>
          <w:rFonts w:hint="eastAsia" w:cs="仿宋" w:asciiTheme="minorEastAsia" w:hAnsiTheme="minorEastAsia" w:eastAsiaTheme="minorEastAsia"/>
          <w:sz w:val="28"/>
          <w:szCs w:val="28"/>
        </w:rPr>
        <w:t>上或累加上的算术错误，修正错误的原则如下：</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（1）响应文件中开标一览表内容与响应文件中相应内容不一致的，以开标一览表为准。</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（2）大写金额和小写金额不一致的，以大写金额为准。</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（3）总价金额与按单价汇总金额不一致的，以单价金额计算结果为准。</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同时出现两种以上错误的，按照前款规定的顺序修正。</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3.3询价小组将按上述修正错误的方法调整响应文件中的响应报价，并告知响应供应商，调整后的价格应对响应供应商具有约束力。如果响应供应商不接受修正后的价格，则其响应将被拒绝。</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3.5询价小组允许修正响应文件中不构成重大偏离的、微小的、非正规的、不一致的或不规则的地方，但这些修改不能影响任何响应供应商相应的名次排列。</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3.7响应供应商在询价采购活动全过程中应保持通讯畅通，并安排专人与采购人及询价小组联系。</w:t>
      </w:r>
    </w:p>
    <w:p>
      <w:pPr>
        <w:adjustRightInd w:val="0"/>
        <w:snapToGrid w:val="0"/>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4.无效响应及废标情形</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4.1符合下列情形之一者，响应供应商响应无效：</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（1）响应供应商未按本采购文件要求进行制作或密封的；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（2）响应文件未按采购文件的要求签字或盖章的。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w:t>
      </w:r>
      <w:r>
        <w:rPr>
          <w:rFonts w:hint="eastAsia" w:cs="仿宋" w:asciiTheme="minorEastAsia" w:hAnsiTheme="minorEastAsia" w:eastAsiaTheme="minorEastAsia"/>
          <w:spacing w:val="-6"/>
          <w:sz w:val="28"/>
          <w:szCs w:val="28"/>
        </w:rPr>
        <w:t>响应文件未按规定加盖供应商印章，投标报价部分未盖章的。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（4）响应文件的关键内容字迹模糊，无法辨认的。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（5）同</w:t>
      </w:r>
      <w:r>
        <w:rPr>
          <w:rFonts w:hint="eastAsia" w:cs="仿宋" w:asciiTheme="minorEastAsia" w:hAnsiTheme="minorEastAsia" w:eastAsiaTheme="minorEastAsia"/>
          <w:spacing w:val="-6"/>
          <w:sz w:val="28"/>
          <w:szCs w:val="28"/>
        </w:rPr>
        <w:t>一响应供应商提交两个（含两个）以上不同的响应报价的；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（6）响应供应商不具备采购文件中规定资格要求的；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（7）响应供应商的报价超过了采购预算或最高限价的；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（8）未通过资格性、符合性审查的；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（9）不符合询价采购文件中规定的其他实质性要求和条件的；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（11）响应文件含有采购人不能接受的附加条件的；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（12）其他法律、法规及本采购文件规定的属无效响应的情形。4.2符合下列情形之一者，本采购项目废标：</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w:t>
      </w:r>
      <w:r>
        <w:rPr>
          <w:rFonts w:hint="eastAsia" w:cs="仿宋" w:asciiTheme="minorEastAsia" w:hAnsiTheme="minorEastAsia" w:eastAsiaTheme="minorEastAsia"/>
          <w:bCs/>
          <w:sz w:val="28"/>
          <w:szCs w:val="28"/>
        </w:rPr>
        <w:t>符合专业条件的供应商或者对采购文件作实质响应的供应商不足三家的</w:t>
      </w:r>
      <w:r>
        <w:rPr>
          <w:rFonts w:hint="eastAsia" w:cs="仿宋" w:asciiTheme="minorEastAsia" w:hAnsiTheme="minorEastAsia" w:eastAsiaTheme="minorEastAsia"/>
          <w:sz w:val="28"/>
          <w:szCs w:val="28"/>
        </w:rPr>
        <w:t>；</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（2）所有合格响应供应商的报价均超过本项目预算金额或最高限价的；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（3）出现影响采购公正的违法、违规行为的；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（4）因重大变故，采购任务取消的；</w:t>
      </w:r>
    </w:p>
    <w:p>
      <w:pPr>
        <w:adjustRightInd w:val="0"/>
        <w:snapToGrid w:val="0"/>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六、成交原则</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1.确定成交单位</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1.1符合采购需求且报价最低者成交。</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1.2若最低报价有相同时，则通过抽签方式确定中标候选人。</w:t>
      </w:r>
    </w:p>
    <w:p>
      <w:pPr>
        <w:pStyle w:val="11"/>
        <w:spacing w:line="500" w:lineRule="exact"/>
        <w:ind w:left="0" w:leftChars="0"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1.3当第一中标人放弃中标、因不可抗力不能履行合同、不按照招标文件要求提交履约保证金，或者被查实存在影响中标结果的违法行为等情形，不符合中标条件的，招标人依法重新招标。</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1.4成交结果公告</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成交结果公告将在“启东市人民政府网站”发布，公告期限为1个工作日。</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1.6若有充分证据证明，成交供应商出现下列情况之一的，一经查实，将被取消成交资格：</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（1）提供虚假材料谋取成交的；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（2）向采购人行贿或者提供其他不正当利益的；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（3）恶意竞争，响应总报价明显低于其自身合理成本且又无法提供证明的；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（4）属于本文件规定的无效条件，但在评审过程中又未被询价小组发现的；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（5）与采购人或者其他供应商恶意串通的；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（6）采取不正当手段诋毁、排挤其他供应商的；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（7）如有涉及对采购文件实质性内容的隐瞒、欺诈或违法违规行为的。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1.7有下列情形之一的，视为响应供应商串通响应，响应无效：</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（1）不同响应供应商的响应文件由同一单位或者个人编制；</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（2）不同响应供应商委托同一单位或者个人办理响应事宜；</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（3）不同响应供应商的响应文件载明的项目管理成员或者联系人员为同一人；</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（4）不同响应供应商的响应文件异常一致或者响应报价呈规律性差异；</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（5）不同响应供应商的响应文件相互混装。</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2.质疑处理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2.1 提出质疑的供应商应当是参与所质疑项目采购活动的供应商。潜在供应商依法获取其可质疑的采购文件的，可以对采购文件提出质疑。</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pPr>
        <w:adjustRightInd w:val="0"/>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sz w:val="28"/>
          <w:szCs w:val="28"/>
        </w:rPr>
        <w:t>（1）</w:t>
      </w:r>
      <w:r>
        <w:rPr>
          <w:rFonts w:hint="eastAsia" w:cs="仿宋" w:asciiTheme="minorEastAsia" w:hAnsiTheme="minorEastAsia" w:eastAsiaTheme="minorEastAsia"/>
          <w:kern w:val="0"/>
          <w:sz w:val="28"/>
          <w:szCs w:val="28"/>
        </w:rPr>
        <w:t>对可以质疑的采购文件提出质疑的，为收到采购文件之日或者采购文件公告期限届满之日；</w:t>
      </w:r>
      <w:r>
        <w:rPr>
          <w:rFonts w:hint="eastAsia" w:cs="仿宋" w:asciiTheme="minorEastAsia" w:hAnsiTheme="minorEastAsia" w:eastAsiaTheme="minorEastAsia"/>
          <w:kern w:val="0"/>
          <w:sz w:val="28"/>
          <w:szCs w:val="28"/>
        </w:rPr>
        <w:br w:type="textWrapping"/>
      </w:r>
      <w:r>
        <w:rPr>
          <w:rFonts w:hint="eastAsia" w:cs="仿宋" w:asciiTheme="minorEastAsia" w:hAnsiTheme="minorEastAsia" w:eastAsiaTheme="minorEastAsia"/>
          <w:kern w:val="0"/>
          <w:sz w:val="28"/>
          <w:szCs w:val="28"/>
        </w:rPr>
        <w:t>　　</w:t>
      </w:r>
      <w:r>
        <w:rPr>
          <w:rFonts w:hint="eastAsia" w:cs="仿宋" w:asciiTheme="minorEastAsia" w:hAnsiTheme="minorEastAsia" w:eastAsiaTheme="minorEastAsia"/>
          <w:sz w:val="28"/>
          <w:szCs w:val="28"/>
        </w:rPr>
        <w:t>（2）</w:t>
      </w:r>
      <w:r>
        <w:rPr>
          <w:rFonts w:hint="eastAsia" w:cs="仿宋" w:asciiTheme="minorEastAsia" w:hAnsiTheme="minorEastAsia" w:eastAsiaTheme="minorEastAsia"/>
          <w:kern w:val="0"/>
          <w:sz w:val="28"/>
          <w:szCs w:val="28"/>
        </w:rPr>
        <w:t>对采购过程提出质疑的，为各采购程序环节结束之日；</w:t>
      </w:r>
      <w:r>
        <w:rPr>
          <w:rFonts w:hint="eastAsia" w:cs="仿宋" w:asciiTheme="minorEastAsia" w:hAnsiTheme="minorEastAsia" w:eastAsiaTheme="minorEastAsia"/>
          <w:kern w:val="0"/>
          <w:sz w:val="28"/>
          <w:szCs w:val="28"/>
        </w:rPr>
        <w:br w:type="textWrapping"/>
      </w:r>
      <w:r>
        <w:rPr>
          <w:rFonts w:hint="eastAsia" w:cs="仿宋" w:asciiTheme="minorEastAsia" w:hAnsiTheme="minorEastAsia" w:eastAsiaTheme="minorEastAsia"/>
          <w:kern w:val="0"/>
          <w:sz w:val="28"/>
          <w:szCs w:val="28"/>
        </w:rPr>
        <w:t>　　</w:t>
      </w:r>
      <w:r>
        <w:rPr>
          <w:rFonts w:hint="eastAsia" w:cs="仿宋" w:asciiTheme="minorEastAsia" w:hAnsiTheme="minorEastAsia" w:eastAsiaTheme="minorEastAsia"/>
          <w:sz w:val="28"/>
          <w:szCs w:val="28"/>
        </w:rPr>
        <w:t>（3）</w:t>
      </w:r>
      <w:r>
        <w:rPr>
          <w:rFonts w:hint="eastAsia" w:cs="仿宋" w:asciiTheme="minorEastAsia" w:hAnsiTheme="minorEastAsia" w:eastAsiaTheme="minorEastAsia"/>
          <w:kern w:val="0"/>
          <w:sz w:val="28"/>
          <w:szCs w:val="28"/>
        </w:rPr>
        <w:t>对中标或者成交结果提出质疑的，为中标或者成交结果公告期限届满之日。</w:t>
      </w:r>
    </w:p>
    <w:p>
      <w:pPr>
        <w:adjustRightInd w:val="0"/>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供应商应当在法定质疑期内一次性提出针对同一采购程序环节的质疑。</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2.3质疑函必须按照本采购文件中《质疑函范本》（附件7）要求的格式和内容进行填写。</w:t>
      </w:r>
    </w:p>
    <w:p>
      <w:pPr>
        <w:adjustRightInd w:val="0"/>
        <w:snapToGrid w:val="0"/>
        <w:spacing w:line="500" w:lineRule="exact"/>
        <w:ind w:firstLine="560" w:firstLineChars="200"/>
        <w:jc w:val="left"/>
        <w:rPr>
          <w:rFonts w:cs="仿宋" w:asciiTheme="minorEastAsia" w:hAnsiTheme="minorEastAsia" w:eastAsiaTheme="minorEastAsia"/>
          <w:b/>
          <w:sz w:val="28"/>
          <w:szCs w:val="28"/>
        </w:rPr>
      </w:pPr>
      <w:r>
        <w:rPr>
          <w:rFonts w:hint="eastAsia" w:cs="仿宋" w:asciiTheme="minorEastAsia" w:hAnsiTheme="minorEastAsia" w:eastAsiaTheme="minorEastAsia"/>
          <w:sz w:val="28"/>
          <w:szCs w:val="28"/>
        </w:rPr>
        <w:t>2.4对采购方式、采购文件中项目需求、供应商资格条件等应当由采购人答复的质疑，请向采购人提出，由采购人负责答复。为方便供应商提起质疑，供应商向采购人以书面形式提交质疑函。</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采购人质疑接收人及联系方式，见采购文件第一部分。</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2.5 以下情形的质疑不予受理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（1）内容不符合《政府采购质疑和投诉办法》第十二条规定的质疑。</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（2）超出政府采购法定期限的质疑。</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（3）未参加响应活动的供应商或在响应活动中自身权益未受到损害的供应商所提出的质疑。</w:t>
      </w:r>
    </w:p>
    <w:p>
      <w:pPr>
        <w:adjustRightInd w:val="0"/>
        <w:snapToGrid w:val="0"/>
        <w:spacing w:line="500" w:lineRule="exact"/>
        <w:ind w:firstLine="546" w:firstLineChars="195"/>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numPr>
          <w:ilvl w:val="0"/>
          <w:numId w:val="2"/>
        </w:numPr>
        <w:adjustRightInd w:val="0"/>
        <w:snapToGrid w:val="0"/>
        <w:spacing w:line="500" w:lineRule="exact"/>
        <w:ind w:firstLine="489"/>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成交通知书</w:t>
      </w:r>
    </w:p>
    <w:p>
      <w:pPr>
        <w:pStyle w:val="44"/>
        <w:adjustRightInd w:val="0"/>
        <w:snapToGrid w:val="0"/>
        <w:spacing w:line="500" w:lineRule="exact"/>
        <w:ind w:firstLine="560"/>
        <w:rPr>
          <w:rFonts w:cs="仿宋" w:asciiTheme="minorEastAsia" w:hAnsiTheme="minorEastAsia" w:eastAsiaTheme="minorEastAsia"/>
          <w:bCs/>
          <w:sz w:val="28"/>
          <w:szCs w:val="28"/>
        </w:rPr>
      </w:pPr>
      <w:r>
        <w:rPr>
          <w:rFonts w:hint="eastAsia" w:cs="仿宋" w:asciiTheme="minorEastAsia" w:hAnsiTheme="minorEastAsia" w:eastAsiaTheme="minorEastAsia"/>
          <w:sz w:val="28"/>
          <w:szCs w:val="28"/>
        </w:rPr>
        <w:t>公告成交结果的同时，采购人</w:t>
      </w:r>
      <w:r>
        <w:rPr>
          <w:rFonts w:hint="eastAsia" w:cs="仿宋" w:asciiTheme="minorEastAsia" w:hAnsiTheme="minorEastAsia" w:eastAsiaTheme="minorEastAsia"/>
          <w:bCs/>
          <w:sz w:val="28"/>
          <w:szCs w:val="28"/>
        </w:rPr>
        <w:t>向成交供应商发放成交通知书。</w:t>
      </w:r>
    </w:p>
    <w:p>
      <w:pPr>
        <w:pStyle w:val="44"/>
        <w:adjustRightInd w:val="0"/>
        <w:snapToGrid w:val="0"/>
        <w:spacing w:line="500" w:lineRule="exact"/>
        <w:ind w:firstLine="56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成交通知书发出后，采购人不得违法改变成交结果，成交供应商无正当理由不得放弃成交。</w:t>
      </w:r>
    </w:p>
    <w:p>
      <w:pPr>
        <w:adjustRightInd w:val="0"/>
        <w:snapToGrid w:val="0"/>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七、授予合同</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1.签订合同</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1.1成交供应商应当在成交通知书发出之日起30日内，按照采购文件确定的事项与采购人签订政府采购合同。</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1.2采购文件、成交供应商的响应文件及采购过程中有关澄清、承诺文件均应作为合同附件。</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1.3签订合同后，成交供应商不得将货物及其他相关服务进行转包。未经采购人同意，成交供应商也不得随意采用分包的形式履行合同，否则采购人有权终止合同，成交供应商的履约保证金将不予退还。</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2.货物和服务的追加、减少和添购</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
          <w:sz w:val="28"/>
          <w:szCs w:val="28"/>
        </w:rPr>
        <w:t>八、其他说明</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1.法定代表人为同一个人的两个及两个以上法人，母公司、全资子公司及其控股公司，只能有一家单位参加本项目的响应。</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2.采购人和询价小组不向未成交的响应供应商解释未成交原因，也不公布评审过程中的相关细节。</w:t>
      </w:r>
    </w:p>
    <w:p>
      <w:pPr>
        <w:adjustRightInd w:val="0"/>
        <w:snapToGrid w:val="0"/>
        <w:spacing w:line="500" w:lineRule="exact"/>
        <w:ind w:firstLine="560" w:firstLineChars="200"/>
        <w:rPr>
          <w:rFonts w:cs="宋体" w:asciiTheme="minorEastAsia" w:hAnsiTheme="minorEastAsia" w:eastAsiaTheme="minorEastAsia"/>
          <w:sz w:val="28"/>
          <w:szCs w:val="28"/>
        </w:rPr>
      </w:pPr>
    </w:p>
    <w:p>
      <w:pPr>
        <w:adjustRightInd w:val="0"/>
        <w:snapToGrid w:val="0"/>
        <w:spacing w:line="500" w:lineRule="exact"/>
        <w:ind w:firstLine="3080" w:firstLineChars="1100"/>
        <w:rPr>
          <w:rFonts w:cs="宋体" w:asciiTheme="minorEastAsia" w:hAnsiTheme="minorEastAsia" w:eastAsiaTheme="minorEastAsia"/>
          <w:bCs/>
          <w:sz w:val="28"/>
          <w:szCs w:val="28"/>
        </w:rPr>
      </w:pPr>
      <w:bookmarkStart w:id="54" w:name="_Toc32735"/>
    </w:p>
    <w:p>
      <w:pPr>
        <w:adjustRightInd w:val="0"/>
        <w:snapToGrid w:val="0"/>
        <w:spacing w:line="500" w:lineRule="exact"/>
        <w:ind w:firstLine="3080" w:firstLineChars="1100"/>
        <w:rPr>
          <w:rFonts w:cs="宋体" w:asciiTheme="minorEastAsia" w:hAnsiTheme="minorEastAsia" w:eastAsiaTheme="minorEastAsia"/>
          <w:bCs/>
          <w:sz w:val="28"/>
          <w:szCs w:val="28"/>
        </w:rPr>
      </w:pPr>
    </w:p>
    <w:p>
      <w:pPr>
        <w:adjustRightInd w:val="0"/>
        <w:snapToGrid w:val="0"/>
        <w:spacing w:line="500" w:lineRule="exact"/>
        <w:ind w:firstLine="3080" w:firstLineChars="1100"/>
        <w:rPr>
          <w:rFonts w:cs="仿宋" w:asciiTheme="minorEastAsia" w:hAnsiTheme="minorEastAsia" w:eastAsiaTheme="minorEastAsia"/>
          <w:sz w:val="28"/>
          <w:szCs w:val="28"/>
        </w:rPr>
      </w:pPr>
    </w:p>
    <w:p>
      <w:pPr>
        <w:adjustRightInd w:val="0"/>
        <w:snapToGrid w:val="0"/>
        <w:spacing w:line="500" w:lineRule="exact"/>
        <w:ind w:firstLine="3080" w:firstLineChars="1100"/>
        <w:rPr>
          <w:rFonts w:cs="仿宋" w:asciiTheme="minorEastAsia" w:hAnsiTheme="minorEastAsia" w:eastAsiaTheme="minorEastAsia"/>
          <w:sz w:val="28"/>
          <w:szCs w:val="28"/>
        </w:rPr>
      </w:pPr>
    </w:p>
    <w:p>
      <w:pPr>
        <w:adjustRightInd w:val="0"/>
        <w:snapToGrid w:val="0"/>
        <w:spacing w:line="500" w:lineRule="exact"/>
        <w:ind w:firstLine="3080" w:firstLineChars="1100"/>
        <w:rPr>
          <w:rFonts w:cs="仿宋" w:asciiTheme="minorEastAsia" w:hAnsiTheme="minorEastAsia" w:eastAsiaTheme="minorEastAsia"/>
          <w:sz w:val="28"/>
          <w:szCs w:val="28"/>
        </w:rPr>
      </w:pPr>
    </w:p>
    <w:p>
      <w:pPr>
        <w:adjustRightInd w:val="0"/>
        <w:snapToGrid w:val="0"/>
        <w:spacing w:line="500" w:lineRule="exact"/>
        <w:ind w:firstLine="3080" w:firstLineChars="1100"/>
        <w:rPr>
          <w:rFonts w:cs="仿宋" w:asciiTheme="minorEastAsia" w:hAnsiTheme="minorEastAsia" w:eastAsiaTheme="minorEastAsia"/>
          <w:sz w:val="28"/>
          <w:szCs w:val="28"/>
        </w:rPr>
      </w:pPr>
    </w:p>
    <w:p>
      <w:pPr>
        <w:adjustRightInd w:val="0"/>
        <w:snapToGrid w:val="0"/>
        <w:spacing w:line="500" w:lineRule="exact"/>
        <w:ind w:firstLine="2800" w:firstLineChars="1000"/>
        <w:rPr>
          <w:rFonts w:cs="宋体" w:asciiTheme="minorEastAsia" w:hAnsiTheme="minorEastAsia" w:eastAsiaTheme="minorEastAsia"/>
          <w:bCs/>
          <w:sz w:val="28"/>
          <w:szCs w:val="28"/>
        </w:rPr>
      </w:pPr>
      <w:r>
        <w:rPr>
          <w:rFonts w:hint="eastAsia" w:cs="仿宋" w:asciiTheme="minorEastAsia" w:hAnsiTheme="minorEastAsia" w:eastAsiaTheme="minorEastAsia"/>
          <w:sz w:val="28"/>
          <w:szCs w:val="28"/>
        </w:rPr>
        <w:t>第三部分  项目需求</w:t>
      </w:r>
    </w:p>
    <w:p>
      <w:pPr>
        <w:adjustRightInd w:val="0"/>
        <w:snapToGrid w:val="0"/>
        <w:spacing w:line="460" w:lineRule="exact"/>
        <w:ind w:firstLine="560" w:firstLineChars="200"/>
        <w:rPr>
          <w:rFonts w:cs="仿宋" w:asciiTheme="minorEastAsia" w:hAnsiTheme="minorEastAsia" w:eastAsiaTheme="minorEastAsia"/>
          <w:b/>
          <w:bCs/>
          <w:sz w:val="28"/>
          <w:szCs w:val="28"/>
        </w:rPr>
      </w:pPr>
      <w:bookmarkStart w:id="55" w:name="_Toc82505662"/>
      <w:r>
        <w:rPr>
          <w:rFonts w:hint="eastAsia" w:cs="仿宋" w:asciiTheme="minorEastAsia" w:hAnsiTheme="minorEastAsia" w:eastAsiaTheme="minorEastAsia"/>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46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其内容包含：</w:t>
      </w:r>
    </w:p>
    <w:p>
      <w:pPr>
        <w:numPr>
          <w:ilvl w:val="0"/>
          <w:numId w:val="3"/>
        </w:numPr>
        <w:adjustRightInd w:val="0"/>
        <w:snapToGrid w:val="0"/>
        <w:spacing w:line="46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采购需求：启东市合作镇五星村宜居宜业和美乡村建设项目-----智能化采购项目。</w:t>
      </w:r>
    </w:p>
    <w:p>
      <w:pPr>
        <w:adjustRightInd w:val="0"/>
        <w:snapToGrid w:val="0"/>
        <w:spacing w:line="460" w:lineRule="exact"/>
        <w:ind w:firstLine="3360" w:firstLineChars="1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采购清单一览表</w:t>
      </w:r>
    </w:p>
    <w:tbl>
      <w:tblPr>
        <w:tblStyle w:val="20"/>
        <w:tblW w:w="9356" w:type="dxa"/>
        <w:tblInd w:w="-459" w:type="dxa"/>
        <w:tblLayout w:type="autofit"/>
        <w:tblCellMar>
          <w:top w:w="0" w:type="dxa"/>
          <w:left w:w="108" w:type="dxa"/>
          <w:bottom w:w="0" w:type="dxa"/>
          <w:right w:w="108" w:type="dxa"/>
        </w:tblCellMar>
      </w:tblPr>
      <w:tblGrid>
        <w:gridCol w:w="567"/>
        <w:gridCol w:w="851"/>
        <w:gridCol w:w="5103"/>
        <w:gridCol w:w="850"/>
        <w:gridCol w:w="851"/>
        <w:gridCol w:w="1134"/>
      </w:tblGrid>
      <w:tr>
        <w:tblPrEx>
          <w:tblCellMar>
            <w:top w:w="0" w:type="dxa"/>
            <w:left w:w="108" w:type="dxa"/>
            <w:bottom w:w="0" w:type="dxa"/>
            <w:right w:w="108" w:type="dxa"/>
          </w:tblCellMar>
        </w:tblPrEx>
        <w:trPr>
          <w:trHeight w:val="829" w:hRule="atLeast"/>
        </w:trPr>
        <w:tc>
          <w:tcPr>
            <w:tcW w:w="9356" w:type="dxa"/>
            <w:gridSpan w:val="6"/>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b/>
                <w:color w:val="000000"/>
                <w:sz w:val="28"/>
                <w:szCs w:val="28"/>
              </w:rPr>
              <w:t>一、LED显示屏</w:t>
            </w:r>
          </w:p>
        </w:tc>
      </w:tr>
      <w:tr>
        <w:tblPrEx>
          <w:tblCellMar>
            <w:top w:w="0" w:type="dxa"/>
            <w:left w:w="108" w:type="dxa"/>
            <w:bottom w:w="0" w:type="dxa"/>
            <w:right w:w="108" w:type="dxa"/>
          </w:tblCellMar>
        </w:tblPrEx>
        <w:trPr>
          <w:trHeight w:val="829" w:hRule="atLeast"/>
        </w:trPr>
        <w:tc>
          <w:tcPr>
            <w:tcW w:w="567"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序号</w:t>
            </w:r>
          </w:p>
        </w:tc>
        <w:tc>
          <w:tcPr>
            <w:tcW w:w="851"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设备名称</w:t>
            </w:r>
          </w:p>
        </w:tc>
        <w:tc>
          <w:tcPr>
            <w:tcW w:w="5103"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技术参数</w:t>
            </w:r>
          </w:p>
        </w:tc>
        <w:tc>
          <w:tcPr>
            <w:tcW w:w="850"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w:t>
            </w:r>
          </w:p>
        </w:tc>
        <w:tc>
          <w:tcPr>
            <w:tcW w:w="851"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单位</w:t>
            </w:r>
          </w:p>
        </w:tc>
        <w:tc>
          <w:tcPr>
            <w:tcW w:w="1134"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推荐品牌</w:t>
            </w:r>
          </w:p>
        </w:tc>
      </w:tr>
      <w:tr>
        <w:tblPrEx>
          <w:tblCellMar>
            <w:top w:w="0" w:type="dxa"/>
            <w:left w:w="108" w:type="dxa"/>
            <w:bottom w:w="0" w:type="dxa"/>
            <w:right w:w="108" w:type="dxa"/>
          </w:tblCellMar>
        </w:tblPrEx>
        <w:trPr>
          <w:trHeight w:val="170" w:hRule="atLeast"/>
        </w:trPr>
        <w:tc>
          <w:tcPr>
            <w:tcW w:w="567"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室内LED 显示单元</w:t>
            </w: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1.LED显示屏灯珠采用表贴三合一铜线封装；LED封装形式：SMD1515黑灯；</w:t>
            </w:r>
          </w:p>
        </w:tc>
        <w:tc>
          <w:tcPr>
            <w:tcW w:w="850"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13.824</w:t>
            </w: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平方</w:t>
            </w:r>
          </w:p>
        </w:tc>
        <w:tc>
          <w:tcPr>
            <w:tcW w:w="1134" w:type="dxa"/>
            <w:vMerge w:val="restart"/>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itc、PUSG、金业诚兴</w:t>
            </w: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2.LED显示屏采用≤2.0mm点间距；</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3.LED显示屏模组尺寸320mm*160mm；</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4.LED显示屏采用前/后维护方式，可正面拆卸模组、接收卡、电源等低压器件，具备热插拔能力；</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5.LED显示屏符合等同或优于IP5X防护等级VN.11167N；</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6.LED显示屏亮度可达到200-800CD/m²，可通过配套软件0-100%调节，设置亮度定时调节；</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7.LED显示屏对比度≥10000：1；LED显示屏杂点率≤1/100000且无连续失控点；LED显示屏亮度均匀性≥99%；LED显示色度均匀性±0.001Cx,Cy之内；LED显示屏像素中心距相对偏差≤1%；LED显示屏观看水平/垂直视角≥175°；LED显示屏平均故障恢复时间（MTTR）≤2分钟；</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8.LED显示屏刷新频率≥4200Hz，可通过配套控制软件调节刷新率设置选项；</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9.LED显示屏色温100K-20000K连续可调，可设冷色、暖色、标准等多档白场调节,色温为8500K时，100%、75%、50%、25%四档电平白场调节色温误差≤100K；</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10.LED显示屏峰值功耗为≤500W/㎡；LED显示屏平均功耗为≤125W/㎡；</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11.LED显示屏为防止金属离子迁移、线路短路现象，PCB采用FR-4四层板同等级或更高材料，PCB导线更宽、导线间距和过孔间距更大，能更好的杜绝模块黑屏、显示异常、灯珠缺色、毛毛虫等现象，表面沉金处理，板厚≥1.6mm，铜厚≥1盎司，TG≥150℃，PCB板表面具备防潮/防尘/防静电/抗氧化，防霉等级≤1级；（需提供得到CNAS认可的检测机构出具的检测报告作为该技术参数证明材料）</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12.LED显示屏依据GB/T 5169.16-2017标准，测试温度在650℃，时间30秒，样品燃烧火焰或熔融物应该在灼热丝测试结束后30秒内熄灭，并且样品燃烧的火焰或熔融物滴落时不能使下方的测试纸燃烧，（PCB板、线材、电源、连接件）阻燃等级达到V-0等级；</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13.LED显示屏在温度25℃、湿度40%RH、大气压力100.2kpa条件工作状态下要求距离产品四周的1m处最大噪声声压&lt;2db；</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single" w:color="000000" w:sz="8" w:space="0"/>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14.LED显示屏符合EMCCLASSB抗干扰能力，要求运行稳定不受外界各射频电磁场的干扰；</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5594" w:hRule="atLeast"/>
        </w:trPr>
        <w:tc>
          <w:tcPr>
            <w:tcW w:w="56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发送盒</w:t>
            </w:r>
          </w:p>
        </w:tc>
        <w:tc>
          <w:tcPr>
            <w:tcW w:w="5103" w:type="dxa"/>
            <w:tcBorders>
              <w:top w:val="nil"/>
              <w:left w:val="single" w:color="000000" w:sz="8" w:space="0"/>
              <w:right w:val="single" w:color="000000" w:sz="8" w:space="0"/>
            </w:tcBorders>
            <w:vAlign w:val="center"/>
          </w:tcPr>
          <w:p>
            <w:pPr>
              <w:widowControl/>
              <w:spacing w:line="360" w:lineRule="exact"/>
              <w:textAlignment w:val="center"/>
              <w:rPr>
                <w:rFonts w:ascii="宋体" w:hAnsi="宋体" w:cs="宋体"/>
                <w:color w:val="000000"/>
                <w:szCs w:val="21"/>
              </w:rPr>
            </w:pPr>
            <w:r>
              <w:rPr>
                <w:rFonts w:hint="eastAsia" w:ascii="宋体" w:hAnsi="宋体" w:cs="宋体"/>
                <w:color w:val="000000"/>
                <w:szCs w:val="21"/>
              </w:rPr>
              <w:t>1.</w:t>
            </w:r>
            <w:r>
              <w:t>具备带载面积≥520万像素，宽度≥8192点，高度≥4096点；</w:t>
            </w:r>
          </w:p>
          <w:p>
            <w:pPr>
              <w:spacing w:line="360" w:lineRule="exact"/>
              <w:textAlignment w:val="center"/>
              <w:rPr>
                <w:rFonts w:ascii="宋体" w:hAnsi="宋体" w:cs="宋体"/>
                <w:color w:val="000000"/>
                <w:szCs w:val="21"/>
              </w:rPr>
            </w:pPr>
            <w:r>
              <w:rPr>
                <w:rFonts w:hint="eastAsia" w:ascii="宋体" w:hAnsi="宋体" w:cs="宋体"/>
                <w:color w:val="000000"/>
                <w:szCs w:val="21"/>
              </w:rPr>
              <w:t>2.</w:t>
            </w:r>
            <w:r>
              <w:t>具备输入分辨率≥1920×1200@60Hz，支持控制范围内自定义分辨率设置；</w:t>
            </w:r>
          </w:p>
          <w:p>
            <w:pPr>
              <w:widowControl/>
              <w:spacing w:line="360" w:lineRule="exact"/>
              <w:textAlignment w:val="center"/>
              <w:rPr>
                <w:rFonts w:ascii="宋体" w:hAnsi="宋体" w:cs="宋体"/>
                <w:color w:val="000000"/>
                <w:szCs w:val="21"/>
              </w:rPr>
            </w:pPr>
            <w:r>
              <w:rPr>
                <w:rFonts w:hint="eastAsia" w:ascii="宋体" w:hAnsi="宋体" w:cs="宋体"/>
                <w:color w:val="000000"/>
                <w:szCs w:val="21"/>
              </w:rPr>
              <w:t>3.</w:t>
            </w:r>
            <w:r>
              <w:t>具备对视频信号任意切换，裁剪，拼接，缩放；</w:t>
            </w:r>
          </w:p>
          <w:p>
            <w:pPr>
              <w:widowControl/>
              <w:spacing w:line="360" w:lineRule="exact"/>
              <w:textAlignment w:val="center"/>
              <w:rPr>
                <w:rFonts w:ascii="宋体" w:hAnsi="宋体" w:cs="宋体"/>
                <w:color w:val="000000"/>
                <w:szCs w:val="21"/>
              </w:rPr>
            </w:pPr>
            <w:r>
              <w:rPr>
                <w:rFonts w:hint="eastAsia" w:ascii="宋体" w:hAnsi="宋体" w:cs="宋体"/>
                <w:color w:val="000000"/>
                <w:szCs w:val="21"/>
              </w:rPr>
              <w:t>4.</w:t>
            </w:r>
            <w:r>
              <w:t>具备≥3画面显示，位置、大小可自由调节；</w:t>
            </w:r>
          </w:p>
          <w:p>
            <w:pPr>
              <w:spacing w:line="360" w:lineRule="exact"/>
              <w:textAlignment w:val="center"/>
              <w:rPr>
                <w:rFonts w:ascii="宋体" w:hAnsi="宋体" w:cs="宋体"/>
                <w:color w:val="000000"/>
                <w:szCs w:val="21"/>
              </w:rPr>
            </w:pPr>
            <w:r>
              <w:rPr>
                <w:rFonts w:hint="eastAsia" w:ascii="宋体" w:hAnsi="宋体" w:cs="宋体"/>
                <w:color w:val="000000"/>
                <w:szCs w:val="21"/>
              </w:rPr>
              <w:t>5.</w:t>
            </w:r>
            <w:r>
              <w:t>具备独立音频输入和音频输出及HDMI音频解析输出；</w:t>
            </w:r>
          </w:p>
          <w:p>
            <w:pPr>
              <w:widowControl/>
              <w:spacing w:line="360" w:lineRule="exact"/>
              <w:textAlignment w:val="center"/>
              <w:rPr>
                <w:rFonts w:ascii="宋体" w:hAnsi="宋体" w:cs="宋体"/>
                <w:color w:val="000000"/>
                <w:szCs w:val="21"/>
              </w:rPr>
            </w:pPr>
            <w:r>
              <w:rPr>
                <w:rFonts w:hint="eastAsia" w:ascii="宋体" w:hAnsi="宋体" w:cs="宋体"/>
                <w:color w:val="000000"/>
                <w:szCs w:val="21"/>
              </w:rPr>
              <w:t>6.</w:t>
            </w:r>
            <w:r>
              <w:t>具备RS232串口协议控制；</w:t>
            </w:r>
          </w:p>
          <w:p>
            <w:pPr>
              <w:widowControl/>
              <w:spacing w:line="360" w:lineRule="exact"/>
              <w:textAlignment w:val="center"/>
              <w:rPr>
                <w:rFonts w:ascii="宋体" w:hAnsi="宋体" w:cs="宋体"/>
                <w:color w:val="000000"/>
                <w:szCs w:val="21"/>
              </w:rPr>
            </w:pPr>
            <w:r>
              <w:rPr>
                <w:rFonts w:hint="eastAsia" w:ascii="宋体" w:hAnsi="宋体" w:cs="宋体"/>
                <w:color w:val="000000"/>
                <w:szCs w:val="21"/>
              </w:rPr>
              <w:t>7.</w:t>
            </w:r>
            <w:r>
              <w:t>具备亮度和色温调节；</w:t>
            </w:r>
          </w:p>
          <w:p>
            <w:pPr>
              <w:widowControl/>
              <w:spacing w:line="360" w:lineRule="exact"/>
              <w:textAlignment w:val="center"/>
              <w:rPr>
                <w:rFonts w:ascii="宋体" w:hAnsi="宋体" w:cs="宋体"/>
                <w:color w:val="000000"/>
                <w:szCs w:val="21"/>
              </w:rPr>
            </w:pPr>
            <w:r>
              <w:rPr>
                <w:rFonts w:hint="eastAsia" w:ascii="宋体" w:hAnsi="宋体" w:cs="宋体"/>
                <w:color w:val="000000"/>
                <w:szCs w:val="21"/>
              </w:rPr>
              <w:t>8.</w:t>
            </w:r>
            <w:r>
              <w:t>具备低亮高灰；</w:t>
            </w:r>
          </w:p>
          <w:p>
            <w:pPr>
              <w:widowControl/>
              <w:spacing w:line="360" w:lineRule="exact"/>
              <w:textAlignment w:val="center"/>
              <w:rPr>
                <w:rFonts w:ascii="宋体" w:hAnsi="宋体" w:cs="宋体"/>
                <w:color w:val="000000"/>
                <w:szCs w:val="21"/>
              </w:rPr>
            </w:pPr>
            <w:r>
              <w:rPr>
                <w:rFonts w:hint="eastAsia" w:ascii="宋体" w:hAnsi="宋体" w:cs="宋体"/>
                <w:color w:val="000000"/>
                <w:szCs w:val="21"/>
              </w:rPr>
              <w:t>9.</w:t>
            </w:r>
            <w:r>
              <w:t>具备≥1路HDMI 1.4输入接口VN.11167N，≥2路DVI输入接口，≥1路3G-SDI输入接口，≥1路音频输入接口；</w:t>
            </w:r>
          </w:p>
          <w:p>
            <w:pPr>
              <w:spacing w:line="360" w:lineRule="exact"/>
              <w:textAlignment w:val="center"/>
              <w:rPr>
                <w:rFonts w:ascii="宋体" w:hAnsi="宋体" w:cs="宋体"/>
                <w:color w:val="000000"/>
                <w:szCs w:val="21"/>
              </w:rPr>
            </w:pPr>
            <w:r>
              <w:rPr>
                <w:rFonts w:hint="eastAsia" w:ascii="宋体" w:hAnsi="宋体" w:cs="宋体"/>
                <w:color w:val="000000"/>
                <w:szCs w:val="21"/>
              </w:rPr>
              <w:t>10.</w:t>
            </w:r>
            <w:r>
              <w:t>具备≥8路网口输出接口，≥1路音频输出接口；</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1134"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 xml:space="preserve"> </w:t>
            </w:r>
            <w:r>
              <w:t>itc、PUSG、金业诚兴</w:t>
            </w:r>
          </w:p>
        </w:tc>
      </w:tr>
      <w:tr>
        <w:tblPrEx>
          <w:tblCellMar>
            <w:top w:w="0" w:type="dxa"/>
            <w:left w:w="108" w:type="dxa"/>
            <w:bottom w:w="0" w:type="dxa"/>
            <w:right w:w="108" w:type="dxa"/>
          </w:tblCellMar>
        </w:tblPrEx>
        <w:trPr>
          <w:trHeight w:val="720" w:hRule="atLeast"/>
        </w:trPr>
        <w:tc>
          <w:tcPr>
            <w:tcW w:w="56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备品备件</w:t>
            </w:r>
          </w:p>
        </w:tc>
        <w:tc>
          <w:tcPr>
            <w:tcW w:w="5103"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三合一板卡、灯板、备用灯珠和IC等</w:t>
            </w:r>
          </w:p>
        </w:tc>
        <w:tc>
          <w:tcPr>
            <w:tcW w:w="85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w:t>
            </w:r>
          </w:p>
        </w:tc>
        <w:tc>
          <w:tcPr>
            <w:tcW w:w="1134"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 xml:space="preserve"> </w:t>
            </w:r>
          </w:p>
        </w:tc>
      </w:tr>
      <w:tr>
        <w:tblPrEx>
          <w:tblCellMar>
            <w:top w:w="0" w:type="dxa"/>
            <w:left w:w="108" w:type="dxa"/>
            <w:bottom w:w="0" w:type="dxa"/>
            <w:right w:w="108" w:type="dxa"/>
          </w:tblCellMar>
        </w:tblPrEx>
        <w:trPr>
          <w:trHeight w:val="688" w:hRule="atLeast"/>
        </w:trPr>
        <w:tc>
          <w:tcPr>
            <w:tcW w:w="56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w:t>
            </w:r>
          </w:p>
        </w:tc>
        <w:tc>
          <w:tcPr>
            <w:tcW w:w="851" w:type="dxa"/>
            <w:tcBorders>
              <w:top w:val="nil"/>
              <w:left w:val="single" w:color="000000" w:sz="8" w:space="0"/>
              <w:bottom w:val="single" w:color="auto" w:sz="4"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安装结构</w:t>
            </w:r>
          </w:p>
        </w:tc>
        <w:tc>
          <w:tcPr>
            <w:tcW w:w="5103" w:type="dxa"/>
            <w:tcBorders>
              <w:top w:val="nil"/>
              <w:left w:val="single" w:color="000000" w:sz="8" w:space="0"/>
              <w:bottom w:val="single" w:color="auto" w:sz="4"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钢结构支架根据现场实际勘察为准</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w:t>
            </w:r>
          </w:p>
        </w:tc>
        <w:tc>
          <w:tcPr>
            <w:tcW w:w="1134"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 xml:space="preserve"> </w:t>
            </w:r>
          </w:p>
        </w:tc>
      </w:tr>
      <w:tr>
        <w:tblPrEx>
          <w:tblCellMar>
            <w:top w:w="0" w:type="dxa"/>
            <w:left w:w="108" w:type="dxa"/>
            <w:bottom w:w="0" w:type="dxa"/>
            <w:right w:w="108" w:type="dxa"/>
          </w:tblCellMar>
        </w:tblPrEx>
        <w:trPr>
          <w:trHeight w:val="170" w:hRule="atLeast"/>
        </w:trPr>
        <w:tc>
          <w:tcPr>
            <w:tcW w:w="567"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w:t>
            </w:r>
          </w:p>
        </w:tc>
        <w:tc>
          <w:tcPr>
            <w:tcW w:w="851" w:type="dxa"/>
            <w:vMerge w:val="restart"/>
            <w:tcBorders>
              <w:top w:val="nil"/>
              <w:left w:val="single" w:color="000000" w:sz="8" w:space="0"/>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配电柜</w:t>
            </w:r>
          </w:p>
        </w:tc>
        <w:tc>
          <w:tcPr>
            <w:tcW w:w="5103" w:type="dxa"/>
            <w:tcBorders>
              <w:top w:val="nil"/>
              <w:left w:val="single" w:color="000000" w:sz="4" w:space="0"/>
              <w:bottom w:val="nil"/>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1.额定功率：≥20kW，输出路数：≥6路</w:t>
            </w:r>
          </w:p>
        </w:tc>
        <w:tc>
          <w:tcPr>
            <w:tcW w:w="850" w:type="dxa"/>
            <w:vMerge w:val="restart"/>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1134"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 xml:space="preserve"> </w:t>
            </w:r>
            <w:r>
              <w:t>itc、PUSG、金业诚兴</w:t>
            </w: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Cs w:val="21"/>
              </w:rPr>
            </w:pPr>
          </w:p>
        </w:tc>
        <w:tc>
          <w:tcPr>
            <w:tcW w:w="5103" w:type="dxa"/>
            <w:tcBorders>
              <w:top w:val="nil"/>
              <w:left w:val="single" w:color="000000" w:sz="4" w:space="0"/>
              <w:bottom w:val="nil"/>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2.输入电压：三相五线制AC380V±10%，频率50Hz±5%，具有高温断电、浪涌、短路、过流、过载保护功能；</w:t>
            </w:r>
          </w:p>
        </w:tc>
        <w:tc>
          <w:tcPr>
            <w:tcW w:w="850"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Cs w:val="21"/>
              </w:rPr>
            </w:pPr>
          </w:p>
        </w:tc>
        <w:tc>
          <w:tcPr>
            <w:tcW w:w="5103" w:type="dxa"/>
            <w:tcBorders>
              <w:top w:val="nil"/>
              <w:left w:val="single" w:color="000000" w:sz="4" w:space="0"/>
              <w:bottom w:val="nil"/>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3.输出电压：单相三线制AC220V±10%；</w:t>
            </w:r>
          </w:p>
        </w:tc>
        <w:tc>
          <w:tcPr>
            <w:tcW w:w="850"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Cs w:val="21"/>
              </w:rPr>
            </w:pPr>
          </w:p>
        </w:tc>
        <w:tc>
          <w:tcPr>
            <w:tcW w:w="5103" w:type="dxa"/>
            <w:tcBorders>
              <w:top w:val="nil"/>
              <w:left w:val="single" w:color="000000" w:sz="4" w:space="0"/>
              <w:bottom w:val="nil"/>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4.内置避雷器，具有避雷防雷功能；</w:t>
            </w:r>
          </w:p>
        </w:tc>
        <w:tc>
          <w:tcPr>
            <w:tcW w:w="850"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Cs w:val="21"/>
              </w:rPr>
            </w:pPr>
          </w:p>
        </w:tc>
        <w:tc>
          <w:tcPr>
            <w:tcW w:w="5103" w:type="dxa"/>
            <w:tcBorders>
              <w:top w:val="nil"/>
              <w:left w:val="single" w:color="000000" w:sz="4" w:space="0"/>
              <w:bottom w:val="nil"/>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5.配电柜含多功能卡控制，具有远程控制功能、RS232串口或千兆网口通信；</w:t>
            </w:r>
          </w:p>
        </w:tc>
        <w:tc>
          <w:tcPr>
            <w:tcW w:w="850"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Cs w:val="21"/>
              </w:rPr>
            </w:pPr>
          </w:p>
        </w:tc>
        <w:tc>
          <w:tcPr>
            <w:tcW w:w="5103" w:type="dxa"/>
            <w:tcBorders>
              <w:top w:val="nil"/>
              <w:left w:val="single" w:color="000000" w:sz="4" w:space="0"/>
              <w:bottom w:val="nil"/>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6.通过LED显示屏智慧控制系统软件搭配多功能卡实现电源监视、温度监控操作；</w:t>
            </w:r>
          </w:p>
        </w:tc>
        <w:tc>
          <w:tcPr>
            <w:tcW w:w="850"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Cs w:val="21"/>
              </w:rPr>
            </w:pPr>
          </w:p>
        </w:tc>
        <w:tc>
          <w:tcPr>
            <w:tcW w:w="5103" w:type="dxa"/>
            <w:tcBorders>
              <w:top w:val="nil"/>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接口：RS485串口或千兆网口通信RJ45</w:t>
            </w:r>
          </w:p>
        </w:tc>
        <w:tc>
          <w:tcPr>
            <w:tcW w:w="850"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012" w:hRule="atLeast"/>
        </w:trPr>
        <w:tc>
          <w:tcPr>
            <w:tcW w:w="56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工程线缆</w:t>
            </w:r>
          </w:p>
        </w:tc>
        <w:tc>
          <w:tcPr>
            <w:tcW w:w="5103"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提供配电柜到屏幕的强电线，控制器到屏体信号线</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1134"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预埋线到配电柜</w:t>
            </w:r>
          </w:p>
        </w:tc>
      </w:tr>
      <w:tr>
        <w:tblPrEx>
          <w:tblCellMar>
            <w:top w:w="0" w:type="dxa"/>
            <w:left w:w="108" w:type="dxa"/>
            <w:bottom w:w="0" w:type="dxa"/>
            <w:right w:w="108" w:type="dxa"/>
          </w:tblCellMar>
        </w:tblPrEx>
        <w:trPr>
          <w:trHeight w:val="838" w:hRule="atLeast"/>
        </w:trPr>
        <w:tc>
          <w:tcPr>
            <w:tcW w:w="56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运输安装调试费</w:t>
            </w:r>
          </w:p>
        </w:tc>
        <w:tc>
          <w:tcPr>
            <w:tcW w:w="510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运输安装调试</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w:t>
            </w:r>
          </w:p>
        </w:tc>
        <w:tc>
          <w:tcPr>
            <w:tcW w:w="1134"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 xml:space="preserve"> </w:t>
            </w:r>
          </w:p>
        </w:tc>
      </w:tr>
      <w:tr>
        <w:tblPrEx>
          <w:tblCellMar>
            <w:top w:w="0" w:type="dxa"/>
            <w:left w:w="108" w:type="dxa"/>
            <w:bottom w:w="0" w:type="dxa"/>
            <w:right w:w="108" w:type="dxa"/>
          </w:tblCellMar>
        </w:tblPrEx>
        <w:trPr>
          <w:trHeight w:val="617" w:hRule="atLeast"/>
        </w:trPr>
        <w:tc>
          <w:tcPr>
            <w:tcW w:w="9356" w:type="dxa"/>
            <w:gridSpan w:val="6"/>
            <w:tcBorders>
              <w:top w:val="nil"/>
              <w:left w:val="single" w:color="000000" w:sz="8" w:space="0"/>
              <w:bottom w:val="single" w:color="000000" w:sz="8" w:space="0"/>
              <w:right w:val="single" w:color="000000" w:sz="8" w:space="0"/>
            </w:tcBorders>
            <w:vAlign w:val="center"/>
          </w:tcPr>
          <w:p>
            <w:pPr>
              <w:widowControl/>
              <w:ind w:firstLine="3780" w:firstLineChars="1800"/>
              <w:textAlignment w:val="center"/>
              <w:rPr>
                <w:rFonts w:ascii="宋体" w:hAnsi="宋体" w:cs="宋体"/>
                <w:color w:val="000000"/>
                <w:szCs w:val="21"/>
              </w:rPr>
            </w:pPr>
            <w:r>
              <w:rPr>
                <w:rFonts w:hint="eastAsia" w:ascii="宋体" w:hAnsi="宋体" w:cs="宋体"/>
                <w:b/>
                <w:color w:val="000000"/>
                <w:szCs w:val="21"/>
              </w:rPr>
              <w:t>二、视频监控系统</w:t>
            </w:r>
          </w:p>
        </w:tc>
      </w:tr>
      <w:tr>
        <w:tblPrEx>
          <w:tblCellMar>
            <w:top w:w="0" w:type="dxa"/>
            <w:left w:w="108" w:type="dxa"/>
            <w:bottom w:w="0" w:type="dxa"/>
            <w:right w:w="108" w:type="dxa"/>
          </w:tblCellMar>
        </w:tblPrEx>
        <w:trPr>
          <w:trHeight w:val="681" w:hRule="atLeast"/>
        </w:trPr>
        <w:tc>
          <w:tcPr>
            <w:tcW w:w="56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序号</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设备名称</w:t>
            </w:r>
          </w:p>
        </w:tc>
        <w:tc>
          <w:tcPr>
            <w:tcW w:w="510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技术参数</w:t>
            </w:r>
          </w:p>
        </w:tc>
        <w:tc>
          <w:tcPr>
            <w:tcW w:w="85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单位</w:t>
            </w:r>
          </w:p>
        </w:tc>
        <w:tc>
          <w:tcPr>
            <w:tcW w:w="113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推荐品牌</w:t>
            </w:r>
          </w:p>
        </w:tc>
      </w:tr>
      <w:tr>
        <w:tblPrEx>
          <w:tblCellMar>
            <w:top w:w="0" w:type="dxa"/>
            <w:left w:w="108" w:type="dxa"/>
            <w:bottom w:w="0" w:type="dxa"/>
            <w:right w:w="108" w:type="dxa"/>
          </w:tblCellMar>
        </w:tblPrEx>
        <w:trPr>
          <w:trHeight w:val="170" w:hRule="atLeast"/>
        </w:trPr>
        <w:tc>
          <w:tcPr>
            <w:tcW w:w="567"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200万红外定焦枪型网络摄像机</w:t>
            </w:r>
          </w:p>
        </w:tc>
        <w:tc>
          <w:tcPr>
            <w:tcW w:w="5103"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电子快门: 1/3s~1/100000s (可手动或自动调节) ;</w:t>
            </w:r>
          </w:p>
        </w:tc>
        <w:tc>
          <w:tcPr>
            <w:tcW w:w="850"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个</w:t>
            </w:r>
          </w:p>
        </w:tc>
        <w:tc>
          <w:tcPr>
            <w:tcW w:w="1134" w:type="dxa"/>
            <w:vMerge w:val="restart"/>
            <w:tcBorders>
              <w:top w:val="nil"/>
              <w:left w:val="single" w:color="000000" w:sz="8" w:space="0"/>
              <w:right w:val="single" w:color="000000" w:sz="8" w:space="0"/>
            </w:tcBorders>
            <w:vAlign w:val="center"/>
          </w:tcPr>
          <w:p>
            <w:pPr>
              <w:widowControl/>
              <w:wordWrap w:val="0"/>
              <w:jc w:val="center"/>
              <w:textAlignment w:val="center"/>
            </w:pPr>
          </w:p>
          <w:p>
            <w:pPr>
              <w:widowControl/>
              <w:wordWrap w:val="0"/>
              <w:jc w:val="center"/>
              <w:textAlignment w:val="center"/>
            </w:pPr>
          </w:p>
          <w:p>
            <w:pPr>
              <w:widowControl/>
              <w:wordWrap w:val="0"/>
              <w:jc w:val="center"/>
              <w:textAlignment w:val="center"/>
            </w:pPr>
          </w:p>
          <w:p>
            <w:pPr>
              <w:widowControl/>
              <w:wordWrap w:val="0"/>
              <w:jc w:val="center"/>
              <w:textAlignment w:val="center"/>
            </w:pPr>
          </w:p>
          <w:p>
            <w:pPr>
              <w:widowControl/>
              <w:wordWrap w:val="0"/>
              <w:jc w:val="center"/>
              <w:textAlignment w:val="center"/>
            </w:pPr>
          </w:p>
          <w:p>
            <w:pPr>
              <w:widowControl/>
              <w:wordWrap w:val="0"/>
              <w:jc w:val="center"/>
              <w:textAlignment w:val="center"/>
            </w:pPr>
          </w:p>
          <w:p>
            <w:pPr>
              <w:widowControl/>
              <w:wordWrap w:val="0"/>
              <w:jc w:val="center"/>
              <w:textAlignment w:val="center"/>
            </w:pPr>
          </w:p>
          <w:p>
            <w:pPr>
              <w:widowControl/>
              <w:wordWrap w:val="0"/>
              <w:jc w:val="center"/>
              <w:textAlignment w:val="center"/>
            </w:pPr>
          </w:p>
          <w:p>
            <w:pPr>
              <w:widowControl/>
              <w:wordWrap w:val="0"/>
              <w:jc w:val="center"/>
              <w:textAlignment w:val="center"/>
            </w:pPr>
          </w:p>
          <w:p>
            <w:pPr>
              <w:widowControl/>
              <w:wordWrap w:val="0"/>
              <w:jc w:val="center"/>
              <w:textAlignment w:val="center"/>
              <w:rPr>
                <w:rFonts w:ascii="宋体" w:hAnsi="宋体" w:cs="宋体"/>
                <w:color w:val="000000"/>
                <w:szCs w:val="21"/>
              </w:rPr>
            </w:pPr>
            <w:r>
              <w:t>大华，海康，宇视</w:t>
            </w: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视频帧率: 50Hz: 主码流 (1920×1080@25fps) , 辅码流 (704×576@25fps) ; 60Hz:</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主码流 (1920×1080@30fps) , 辅码流 (704×480@30fps) ;</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传感器类型: 1/2.8英寸CMOS;</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像素: 200万;</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最大分辨率: 1920×1080;</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最低照度: 0.01lux (彩色模式) ; 0.001lux (黑白模式) ; 0lux (补光灯开启)</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最大补光距离：50m (红外)；</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补光灯：1颗 (红外灯)；</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镜头类型：定焦；</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镜头焦距: 3.6mm;</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镜头光圈: F2.0;</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视场角: 水平: 88°; 垂直: 47°; 对角: 104°;</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智能编码: H.264:支持;H.265:支持;</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宽动态：支持；</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走廊模式: 90°/270°(在 1080P 分辨率及以下支持)</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报警事件：网络断开；IP 冲突；非法访问；动态检测；视频遮挡；安全异常；</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接入标准: ONVIF (Profile S &amp; Profile T) ; CGI; GB/T28181; 大华云联;</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预览最大用户数：6个 (总带宽：36M)；</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供电方式: DC12V/PoE;</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single" w:color="000000" w:sz="8" w:space="0"/>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防护等级: IP67</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bottom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200万红外定焦海螺网络摄像机</w:t>
            </w: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传感器类型: 1/2.8英寸CMOS;</w:t>
            </w:r>
          </w:p>
        </w:tc>
        <w:tc>
          <w:tcPr>
            <w:tcW w:w="850"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w:t>
            </w: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个</w:t>
            </w:r>
          </w:p>
        </w:tc>
        <w:tc>
          <w:tcPr>
            <w:tcW w:w="1134" w:type="dxa"/>
            <w:vMerge w:val="restart"/>
            <w:tcBorders>
              <w:top w:val="nil"/>
              <w:left w:val="single" w:color="000000" w:sz="8" w:space="0"/>
              <w:right w:val="single" w:color="000000" w:sz="8" w:space="0"/>
            </w:tcBorders>
            <w:vAlign w:val="center"/>
          </w:tcPr>
          <w:p>
            <w:pPr>
              <w:widowControl/>
              <w:jc w:val="center"/>
              <w:textAlignment w:val="center"/>
              <w:rPr>
                <w:rFonts w:ascii="宋体" w:hAnsi="宋体" w:cs="宋体"/>
                <w:color w:val="000000"/>
                <w:szCs w:val="21"/>
              </w:rPr>
            </w:pPr>
            <w:r>
              <w:t>大华，海康，宇视</w:t>
            </w: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像素: 200万;</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最大分辨率: 1920×1080;</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最低照度: 0.01lux (彩色模式) ; 0.001lux (黑白模式) ; 0lux (补光灯开启) ;</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最大补光距离：50m (红外)；</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补光灯：2颗 (红外灯)；</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镜头类型：定焦；</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镜头焦距: 2.8mm;</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镜头光圈: F2.0;</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视场角: 水平: 96°; 垂直: 52°; 对角: 118°;</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智能编码: H.264:支持;H.265:支持;</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宽动态：支持；</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走廊模式: 90°/270°(在 1080P 分辨率及以下支持) ;</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内置MIC: 支持, 内置1个MIC;</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886"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报警事件：网络断开；IP 冲突；非法访问；动态检测；视频遮挡；音频异常侦测；安全异常；</w:t>
            </w:r>
          </w:p>
          <w:p>
            <w:pPr>
              <w:widowControl/>
              <w:textAlignment w:val="center"/>
              <w:rPr>
                <w:rFonts w:ascii="宋体" w:hAnsi="宋体" w:cs="宋体"/>
                <w:color w:val="000000"/>
                <w:szCs w:val="21"/>
              </w:rPr>
            </w:pPr>
            <w:r>
              <w:rPr>
                <w:rFonts w:hint="eastAsia" w:ascii="宋体" w:hAnsi="宋体" w:cs="宋体"/>
                <w:color w:val="000000"/>
                <w:szCs w:val="21"/>
              </w:rPr>
              <w:t>接入标准: ONVIF (Profile S) ; CGI; GB/T28181; 乐橙云;</w:t>
            </w:r>
          </w:p>
          <w:p>
            <w:pPr>
              <w:widowControl/>
              <w:textAlignment w:val="center"/>
              <w:rPr>
                <w:rFonts w:ascii="宋体" w:hAnsi="宋体" w:cs="宋体"/>
                <w:color w:val="000000"/>
                <w:szCs w:val="21"/>
              </w:rPr>
            </w:pPr>
            <w:r>
              <w:rPr>
                <w:rFonts w:hint="eastAsia" w:ascii="宋体" w:hAnsi="宋体" w:cs="宋体"/>
                <w:color w:val="000000"/>
                <w:szCs w:val="21"/>
              </w:rPr>
              <w:t>预览最大用户数：6个 (总带宽：36M)；</w:t>
            </w:r>
          </w:p>
          <w:p>
            <w:pPr>
              <w:widowControl/>
              <w:textAlignment w:val="center"/>
              <w:rPr>
                <w:rFonts w:ascii="宋体" w:hAnsi="宋体" w:cs="宋体"/>
                <w:color w:val="000000"/>
                <w:szCs w:val="21"/>
              </w:rPr>
            </w:pPr>
            <w:r>
              <w:rPr>
                <w:rFonts w:hint="eastAsia" w:ascii="宋体" w:hAnsi="宋体" w:cs="宋体"/>
                <w:color w:val="000000"/>
                <w:szCs w:val="21"/>
              </w:rPr>
              <w:t>供电方式: DC12V/PoE;</w:t>
            </w:r>
          </w:p>
          <w:p>
            <w:pPr>
              <w:textAlignment w:val="center"/>
              <w:rPr>
                <w:rFonts w:ascii="宋体" w:hAnsi="宋体" w:cs="宋体"/>
                <w:color w:val="000000"/>
                <w:szCs w:val="21"/>
              </w:rPr>
            </w:pPr>
            <w:r>
              <w:rPr>
                <w:rFonts w:hint="eastAsia" w:ascii="宋体" w:hAnsi="宋体" w:cs="宋体"/>
                <w:color w:val="000000"/>
                <w:szCs w:val="21"/>
              </w:rPr>
              <w:t>防护等级: IP67</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bottom w:val="nil"/>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摄像头支架</w:t>
            </w:r>
          </w:p>
        </w:tc>
        <w:tc>
          <w:tcPr>
            <w:tcW w:w="5103" w:type="dxa"/>
            <w:tcBorders>
              <w:top w:val="single" w:color="000000" w:sz="8" w:space="0"/>
              <w:left w:val="single" w:color="000000" w:sz="8" w:space="0"/>
              <w:bottom w:val="single" w:color="000000" w:sz="8" w:space="0"/>
              <w:right w:val="single" w:color="000000" w:sz="8" w:space="0"/>
            </w:tcBorders>
            <w:vAlign w:val="center"/>
          </w:tcPr>
          <w:p>
            <w:pPr>
              <w:widowControl/>
              <w:ind w:firstLine="1260" w:firstLineChars="600"/>
              <w:textAlignment w:val="center"/>
              <w:rPr>
                <w:rFonts w:ascii="宋体" w:hAnsi="宋体" w:cs="宋体"/>
                <w:color w:val="000000"/>
                <w:szCs w:val="21"/>
              </w:rPr>
            </w:pPr>
            <w:r>
              <w:rPr>
                <w:rFonts w:hint="eastAsia" w:ascii="宋体" w:hAnsi="宋体" w:cs="宋体"/>
                <w:color w:val="000000"/>
                <w:szCs w:val="21"/>
              </w:rPr>
              <w:t>定制</w:t>
            </w:r>
          </w:p>
        </w:tc>
        <w:tc>
          <w:tcPr>
            <w:tcW w:w="85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支</w:t>
            </w:r>
          </w:p>
        </w:tc>
        <w:tc>
          <w:tcPr>
            <w:tcW w:w="1134" w:type="dxa"/>
            <w:tcBorders>
              <w:top w:val="single" w:color="000000" w:sz="8" w:space="0"/>
              <w:left w:val="single" w:color="000000" w:sz="8" w:space="0"/>
              <w:bottom w:val="single" w:color="000000" w:sz="8" w:space="0"/>
              <w:right w:val="single" w:color="000000" w:sz="8" w:space="0"/>
            </w:tcBorders>
          </w:tcPr>
          <w:p>
            <w:pPr>
              <w:widowControl/>
              <w:textAlignment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w:t>
            </w: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网络硬盘录像机</w:t>
            </w: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主处理器：工业级微控制器；</w:t>
            </w:r>
          </w:p>
        </w:tc>
        <w:tc>
          <w:tcPr>
            <w:tcW w:w="850"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个</w:t>
            </w:r>
          </w:p>
        </w:tc>
        <w:tc>
          <w:tcPr>
            <w:tcW w:w="1134" w:type="dxa"/>
            <w:vMerge w:val="restart"/>
            <w:tcBorders>
              <w:top w:val="nil"/>
              <w:left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海康，大华，宇视</w:t>
            </w: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操作系统：嵌入式 Linux操作系统；</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后智能分析：支持后智能智能动检；</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前智能分析：支持前智能人脸检测、人脸识别、周界防范、智能动检、立体行为分析、人群分布、人数统计、车牌识别；</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周界前智能性能 (路数)：全通道 (最大处理6个事件/秒)；</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人脸识别前智能性能 (路数)：全通道 (最大处理6个事件/秒)；</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接入路数：16路；</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分辨率: 12MP; 8MP; 6MP; 5MP; 4MP; 3MP; 1080p; 720p; 960p; D1; CIF;QCIF;</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解码能力: 不开智能: 1路12MP@25fps; 2路8MP@25fps; 3路6MP@25fps;3路5MP@25fps;4路4MP@25fps;10路1080p@25fps 开智能: 1路12MP@25fps;2路8MP@25fps; 3路6MP@25fps;3路5MP@25fps;4路4MP@25fps;9路1080p@25fps;</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报警输入：4路；</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报警输出：2路；</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硬盘接口: 2个SATA, 单盘最大 20T;</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single" w:color="000000" w:sz="8" w:space="0"/>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网络接口: 2个 (10M/100M/1000M以太网口, RJ-45)</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bottom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w:t>
            </w: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硬盘</w:t>
            </w: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单盘容量: 6TB;</w:t>
            </w:r>
          </w:p>
        </w:tc>
        <w:tc>
          <w:tcPr>
            <w:tcW w:w="850"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块</w:t>
            </w:r>
          </w:p>
        </w:tc>
        <w:tc>
          <w:tcPr>
            <w:tcW w:w="1134" w:type="dxa"/>
            <w:vMerge w:val="restart"/>
            <w:tcBorders>
              <w:top w:val="nil"/>
              <w:left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海康，大华，宇视</w:t>
            </w: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缓存: 256MB;</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转速: 5400RPM;</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硬盘接口: SATA</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bottom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w:t>
            </w: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电脑</w:t>
            </w:r>
          </w:p>
        </w:tc>
        <w:tc>
          <w:tcPr>
            <w:tcW w:w="5103" w:type="dxa"/>
            <w:tcBorders>
              <w:top w:val="nil"/>
              <w:left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内存容量: 16GB</w:t>
            </w:r>
          </w:p>
          <w:p>
            <w:pPr>
              <w:widowControl/>
              <w:textAlignment w:val="center"/>
              <w:rPr>
                <w:rFonts w:ascii="宋体" w:hAnsi="宋体" w:cs="宋体"/>
                <w:color w:val="000000"/>
                <w:szCs w:val="21"/>
              </w:rPr>
            </w:pPr>
            <w:r>
              <w:rPr>
                <w:rFonts w:hint="eastAsia" w:ascii="宋体" w:hAnsi="宋体" w:cs="宋体"/>
                <w:color w:val="000000"/>
                <w:szCs w:val="21"/>
              </w:rPr>
              <w:t>系统: Windows 11</w:t>
            </w:r>
          </w:p>
          <w:p>
            <w:pPr>
              <w:widowControl/>
              <w:textAlignment w:val="center"/>
              <w:rPr>
                <w:rFonts w:ascii="宋体" w:hAnsi="宋体" w:cs="宋体"/>
                <w:color w:val="000000"/>
                <w:szCs w:val="21"/>
              </w:rPr>
            </w:pPr>
            <w:r>
              <w:rPr>
                <w:rFonts w:hint="eastAsia" w:ascii="宋体" w:hAnsi="宋体" w:cs="宋体"/>
                <w:color w:val="000000"/>
                <w:szCs w:val="21"/>
              </w:rPr>
              <w:t>处理器: inteli5</w:t>
            </w:r>
          </w:p>
          <w:p>
            <w:pPr>
              <w:textAlignment w:val="center"/>
              <w:rPr>
                <w:rFonts w:ascii="宋体" w:hAnsi="宋体" w:cs="宋体"/>
                <w:color w:val="000000"/>
                <w:szCs w:val="21"/>
              </w:rPr>
            </w:pPr>
            <w:r>
              <w:rPr>
                <w:rFonts w:hint="eastAsia" w:ascii="宋体" w:hAnsi="宋体" w:cs="宋体"/>
                <w:color w:val="000000"/>
                <w:szCs w:val="21"/>
              </w:rPr>
              <w:t>硬盘容量: 512GB SSD</w:t>
            </w:r>
          </w:p>
        </w:tc>
        <w:tc>
          <w:tcPr>
            <w:tcW w:w="850"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1134" w:type="dxa"/>
            <w:vMerge w:val="restart"/>
            <w:tcBorders>
              <w:top w:val="nil"/>
              <w:left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国产优质</w:t>
            </w: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屏幕尺寸：23.8英寸显示器</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显卡型号：独显</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支持IPv6: 支持IPv6</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bottom w:val="single" w:color="000000" w:sz="8" w:space="0"/>
              <w:right w:val="single" w:color="000000" w:sz="8" w:space="0"/>
            </w:tcBorders>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交换机</w:t>
            </w: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下行接口类型：以太网交换机</w:t>
            </w:r>
          </w:p>
        </w:tc>
        <w:tc>
          <w:tcPr>
            <w:tcW w:w="850"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851"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1134" w:type="dxa"/>
            <w:vMerge w:val="restart"/>
            <w:tcBorders>
              <w:top w:val="nil"/>
              <w:left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华为，华三，锐捷</w:t>
            </w: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上行端口速率：千兆</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网管类型：网管</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下行端口速率：千兆</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规格：桌面式交换机</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端口数量：16 口</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端口类型：电口</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170" w:hRule="atLeast"/>
        </w:trPr>
        <w:tc>
          <w:tcPr>
            <w:tcW w:w="567"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103"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端口供电功能：POE 供电</w:t>
            </w:r>
          </w:p>
        </w:tc>
        <w:tc>
          <w:tcPr>
            <w:tcW w:w="85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851"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134" w:type="dxa"/>
            <w:vMerge w:val="continue"/>
            <w:tcBorders>
              <w:left w:val="single" w:color="000000" w:sz="8" w:space="0"/>
              <w:bottom w:val="single" w:color="000000" w:sz="8" w:space="0"/>
              <w:right w:val="single" w:color="000000" w:sz="8" w:space="0"/>
            </w:tcBorders>
          </w:tcPr>
          <w:p>
            <w:pPr>
              <w:rPr>
                <w:rFonts w:ascii="宋体" w:hAnsi="宋体" w:cs="宋体"/>
                <w:color w:val="000000"/>
                <w:szCs w:val="21"/>
              </w:rPr>
            </w:pPr>
          </w:p>
        </w:tc>
      </w:tr>
      <w:tr>
        <w:tblPrEx>
          <w:tblCellMar>
            <w:top w:w="0" w:type="dxa"/>
            <w:left w:w="108" w:type="dxa"/>
            <w:bottom w:w="0" w:type="dxa"/>
            <w:right w:w="108" w:type="dxa"/>
          </w:tblCellMar>
        </w:tblPrEx>
        <w:trPr>
          <w:trHeight w:val="614" w:hRule="atLeast"/>
        </w:trPr>
        <w:tc>
          <w:tcPr>
            <w:tcW w:w="56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8</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机柜</w:t>
            </w:r>
          </w:p>
        </w:tc>
        <w:tc>
          <w:tcPr>
            <w:tcW w:w="5103"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容量:42U</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1134"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 xml:space="preserve"> 国产优质</w:t>
            </w:r>
          </w:p>
        </w:tc>
      </w:tr>
      <w:tr>
        <w:tblPrEx>
          <w:tblCellMar>
            <w:top w:w="0" w:type="dxa"/>
            <w:left w:w="108" w:type="dxa"/>
            <w:bottom w:w="0" w:type="dxa"/>
            <w:right w:w="108" w:type="dxa"/>
          </w:tblCellMar>
        </w:tblPrEx>
        <w:trPr>
          <w:trHeight w:val="614" w:hRule="atLeast"/>
        </w:trPr>
        <w:tc>
          <w:tcPr>
            <w:tcW w:w="56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网线</w:t>
            </w:r>
          </w:p>
        </w:tc>
        <w:tc>
          <w:tcPr>
            <w:tcW w:w="5103"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超五类网线</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箱</w:t>
            </w:r>
          </w:p>
        </w:tc>
        <w:tc>
          <w:tcPr>
            <w:tcW w:w="1134"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 xml:space="preserve"> 国产优质</w:t>
            </w:r>
          </w:p>
        </w:tc>
      </w:tr>
      <w:tr>
        <w:tblPrEx>
          <w:tblCellMar>
            <w:top w:w="0" w:type="dxa"/>
            <w:left w:w="108" w:type="dxa"/>
            <w:bottom w:w="0" w:type="dxa"/>
            <w:right w:w="108" w:type="dxa"/>
          </w:tblCellMar>
        </w:tblPrEx>
        <w:trPr>
          <w:trHeight w:val="633" w:hRule="atLeast"/>
        </w:trPr>
        <w:tc>
          <w:tcPr>
            <w:tcW w:w="56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辅材</w:t>
            </w:r>
          </w:p>
        </w:tc>
        <w:tc>
          <w:tcPr>
            <w:tcW w:w="5103"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 xml:space="preserve"> </w:t>
            </w:r>
          </w:p>
        </w:tc>
        <w:tc>
          <w:tcPr>
            <w:tcW w:w="8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85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批</w:t>
            </w:r>
          </w:p>
        </w:tc>
        <w:tc>
          <w:tcPr>
            <w:tcW w:w="1134"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 xml:space="preserve"> 国产优质</w:t>
            </w:r>
          </w:p>
        </w:tc>
      </w:tr>
    </w:tbl>
    <w:p>
      <w:pPr>
        <w:pStyle w:val="9"/>
        <w:spacing w:after="0" w:line="500" w:lineRule="exact"/>
        <w:ind w:firstLine="480" w:firstLineChars="200"/>
        <w:rPr>
          <w:rFonts w:cs="仿宋_GB2312"/>
          <w:b/>
          <w:bCs/>
          <w:sz w:val="24"/>
        </w:rPr>
      </w:pPr>
      <w:r>
        <w:rPr>
          <w:rFonts w:hint="eastAsia" w:cs="仿宋_GB2312"/>
          <w:b/>
          <w:bCs/>
          <w:sz w:val="24"/>
        </w:rPr>
        <w:t xml:space="preserve">注：报价供应商如拟投产品不在参考品牌之列的，报价品牌技术参数不得低于参考品牌，同时报价供应商应当在 2025 年06月03日17 点前向采购人提供拟投货物的技术资料及相关证明材料，采购人将组织进行评审，当三分之二及以上评委认定，所投品牌、型号档次等于或高于建议品牌档次的，将以补充通知的形式在相关网站予以公布，所投品牌档次低于推荐品牌档次的，则不予受理。 </w:t>
      </w:r>
    </w:p>
    <w:p>
      <w:pPr>
        <w:pStyle w:val="9"/>
        <w:spacing w:after="0"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二、项目实施时间和地点：</w:t>
      </w:r>
    </w:p>
    <w:p>
      <w:pPr>
        <w:pStyle w:val="9"/>
        <w:spacing w:after="0" w:line="500" w:lineRule="exact"/>
        <w:ind w:firstLine="560" w:firstLineChars="200"/>
        <w:rPr>
          <w:rFonts w:cs="仿宋_GB2312"/>
          <w:bCs/>
          <w:sz w:val="28"/>
          <w:szCs w:val="28"/>
        </w:rPr>
      </w:pPr>
      <w:r>
        <w:rPr>
          <w:rFonts w:hint="eastAsia" w:cs="仿宋" w:asciiTheme="minorEastAsia" w:hAnsiTheme="minorEastAsia" w:eastAsiaTheme="minorEastAsia"/>
          <w:kern w:val="0"/>
          <w:sz w:val="28"/>
          <w:szCs w:val="28"/>
        </w:rPr>
        <w:t>1</w:t>
      </w:r>
      <w:r>
        <w:rPr>
          <w:rFonts w:cs="仿宋" w:asciiTheme="minorEastAsia" w:hAnsiTheme="minorEastAsia" w:eastAsiaTheme="minorEastAsia"/>
          <w:kern w:val="0"/>
          <w:sz w:val="28"/>
          <w:szCs w:val="28"/>
        </w:rPr>
        <w:t>.</w:t>
      </w:r>
      <w:r>
        <w:rPr>
          <w:rFonts w:hint="eastAsia" w:cs="仿宋" w:asciiTheme="minorEastAsia" w:hAnsiTheme="minorEastAsia" w:eastAsiaTheme="minorEastAsia"/>
          <w:kern w:val="0"/>
          <w:sz w:val="28"/>
          <w:szCs w:val="28"/>
        </w:rPr>
        <w:t>供货与安装周期：合同签订后，接采购单位的书面通知后30日内完成供货及安装调试完成，否则按违约处理。</w:t>
      </w:r>
    </w:p>
    <w:p>
      <w:pPr>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2</w:t>
      </w:r>
      <w:r>
        <w:rPr>
          <w:rFonts w:cs="仿宋" w:asciiTheme="minorEastAsia" w:hAnsiTheme="minorEastAsia" w:eastAsiaTheme="minorEastAsia"/>
          <w:kern w:val="0"/>
          <w:sz w:val="28"/>
          <w:szCs w:val="28"/>
        </w:rPr>
        <w:t>.</w:t>
      </w:r>
      <w:r>
        <w:rPr>
          <w:rFonts w:hint="eastAsia" w:cs="仿宋" w:asciiTheme="minorEastAsia" w:hAnsiTheme="minorEastAsia" w:eastAsiaTheme="minorEastAsia"/>
          <w:kern w:val="0"/>
          <w:sz w:val="28"/>
          <w:szCs w:val="28"/>
        </w:rPr>
        <w:t>交货、安装地点：</w:t>
      </w:r>
      <w:r>
        <w:rPr>
          <w:rFonts w:hint="eastAsia" w:ascii="宋体" w:hAnsi="宋体" w:cs="仿宋"/>
          <w:bCs/>
          <w:sz w:val="28"/>
        </w:rPr>
        <w:t>成交供应商应按照采购单位的要求将货物运至采购单位指定地点，并负责安装交付使用</w:t>
      </w:r>
      <w:r>
        <w:rPr>
          <w:rFonts w:hint="eastAsia" w:cs="仿宋" w:asciiTheme="minorEastAsia" w:hAnsiTheme="minorEastAsia" w:eastAsiaTheme="minorEastAsia"/>
          <w:kern w:val="0"/>
          <w:sz w:val="28"/>
          <w:szCs w:val="28"/>
        </w:rPr>
        <w:t>。</w:t>
      </w:r>
    </w:p>
    <w:p>
      <w:pPr>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b/>
          <w:bCs/>
          <w:sz w:val="28"/>
          <w:szCs w:val="28"/>
        </w:rPr>
        <w:t>三</w:t>
      </w:r>
      <w:r>
        <w:rPr>
          <w:rFonts w:hint="eastAsia" w:cs="仿宋" w:asciiTheme="minorEastAsia" w:hAnsiTheme="minorEastAsia" w:eastAsiaTheme="minorEastAsia"/>
          <w:b/>
          <w:bCs/>
          <w:sz w:val="28"/>
          <w:szCs w:val="28"/>
          <w:lang w:val="zh-CN"/>
        </w:rPr>
        <w:t>、质量要求：</w:t>
      </w:r>
      <w:r>
        <w:rPr>
          <w:rFonts w:hint="eastAsia" w:cs="仿宋" w:asciiTheme="minorEastAsia" w:hAnsiTheme="minorEastAsia" w:eastAsiaTheme="minorEastAsia"/>
          <w:kern w:val="0"/>
          <w:sz w:val="28"/>
          <w:szCs w:val="28"/>
        </w:rPr>
        <w:t>供应商须提供符合采购需求、符合国家质量检测标准的原装合格产品，供货时须提供产品的提供货物清单、质量保证书、产品合格证、检测报告等必须具备的相关资料，采购单位收到供应商提供的产品，按采购要求进行验收，验收合格的签发接受单。</w:t>
      </w:r>
    </w:p>
    <w:p>
      <w:pPr>
        <w:adjustRightInd w:val="0"/>
        <w:snapToGrid w:val="0"/>
        <w:spacing w:line="500" w:lineRule="exact"/>
        <w:ind w:firstLine="560" w:firstLineChars="200"/>
        <w:jc w:val="left"/>
        <w:rPr>
          <w:rFonts w:cs="仿宋" w:asciiTheme="minorEastAsia" w:hAnsiTheme="minorEastAsia" w:eastAsiaTheme="minorEastAsia"/>
          <w:b/>
          <w:bCs/>
          <w:sz w:val="28"/>
          <w:szCs w:val="28"/>
          <w:lang w:val="zh-CN"/>
        </w:rPr>
      </w:pPr>
      <w:r>
        <w:rPr>
          <w:rFonts w:hint="eastAsia" w:cs="仿宋" w:asciiTheme="minorEastAsia" w:hAnsiTheme="minorEastAsia" w:eastAsiaTheme="minorEastAsia"/>
          <w:b/>
          <w:bCs/>
          <w:sz w:val="28"/>
          <w:szCs w:val="28"/>
        </w:rPr>
        <w:t>四</w:t>
      </w:r>
      <w:r>
        <w:rPr>
          <w:rFonts w:hint="eastAsia" w:cs="仿宋" w:asciiTheme="minorEastAsia" w:hAnsiTheme="minorEastAsia" w:eastAsiaTheme="minorEastAsia"/>
          <w:b/>
          <w:bCs/>
          <w:sz w:val="28"/>
          <w:szCs w:val="28"/>
          <w:lang w:val="zh-CN"/>
        </w:rPr>
        <w:t>、</w:t>
      </w:r>
      <w:r>
        <w:rPr>
          <w:rFonts w:hint="eastAsia" w:cs="仿宋" w:asciiTheme="minorEastAsia" w:hAnsiTheme="minorEastAsia" w:eastAsiaTheme="minorEastAsia"/>
          <w:b/>
          <w:bCs/>
          <w:sz w:val="28"/>
          <w:szCs w:val="28"/>
        </w:rPr>
        <w:t>质保、售后服务要求</w:t>
      </w:r>
      <w:r>
        <w:rPr>
          <w:rFonts w:hint="eastAsia" w:cs="仿宋" w:asciiTheme="minorEastAsia" w:hAnsiTheme="minorEastAsia" w:eastAsiaTheme="minorEastAsia"/>
          <w:b/>
          <w:bCs/>
          <w:sz w:val="28"/>
          <w:szCs w:val="28"/>
          <w:lang w:val="zh-CN"/>
        </w:rPr>
        <w:t>:</w:t>
      </w:r>
    </w:p>
    <w:p>
      <w:pPr>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1.项目要求整体质保两年，本项目所有货物必须提供两年上门服务及全免费质保等售后服务。（若原厂质保期高于供应商承诺质保期的，按原厂质保期计算。自验收合格报告签字确认日起，开始进入质保期）。</w:t>
      </w:r>
    </w:p>
    <w:p>
      <w:pPr>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2.</w:t>
      </w:r>
      <w:r>
        <w:rPr>
          <w:rFonts w:hint="eastAsia"/>
        </w:rPr>
        <w:t xml:space="preserve"> </w:t>
      </w:r>
      <w:r>
        <w:rPr>
          <w:rFonts w:hint="eastAsia" w:cs="仿宋" w:asciiTheme="minorEastAsia" w:hAnsiTheme="minorEastAsia" w:eastAsiaTheme="minorEastAsia"/>
          <w:kern w:val="0"/>
          <w:sz w:val="28"/>
          <w:szCs w:val="28"/>
        </w:rPr>
        <w:t>在质保期内，成交供应商应免费维修所有设备。在免费质保期内，接到用户单位电话通知后，将在4小时之内上门服务，并在24小时内负责修复。如需更换货物或送修，必须在48小时内提供备用货物，并在3个工作日内负责维修完毕。</w:t>
      </w:r>
    </w:p>
    <w:p>
      <w:pPr>
        <w:snapToGrid w:val="0"/>
        <w:spacing w:line="500" w:lineRule="exact"/>
        <w:ind w:firstLine="560" w:firstLineChars="200"/>
        <w:jc w:val="left"/>
        <w:rPr>
          <w:rFonts w:cs="楷体" w:asciiTheme="minorEastAsia" w:hAnsiTheme="minorEastAsia" w:eastAsiaTheme="minorEastAsia"/>
          <w:b/>
          <w:sz w:val="28"/>
          <w:szCs w:val="28"/>
        </w:rPr>
      </w:pPr>
      <w:r>
        <w:rPr>
          <w:rFonts w:hint="eastAsia" w:cs="仿宋" w:asciiTheme="minorEastAsia" w:hAnsiTheme="minorEastAsia" w:eastAsiaTheme="minorEastAsia"/>
          <w:b/>
          <w:bCs/>
          <w:sz w:val="28"/>
          <w:szCs w:val="28"/>
        </w:rPr>
        <w:t>五、报价注意事项</w:t>
      </w:r>
      <w:r>
        <w:rPr>
          <w:rFonts w:hint="eastAsia" w:cs="楷体" w:asciiTheme="minorEastAsia" w:hAnsiTheme="minorEastAsia" w:eastAsiaTheme="minorEastAsia"/>
          <w:b/>
          <w:sz w:val="28"/>
          <w:szCs w:val="28"/>
        </w:rPr>
        <w:t>：</w:t>
      </w:r>
    </w:p>
    <w:p>
      <w:pPr>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供应商应按照询价文件的要求编制报价文件，报价文件应对询价文件提出的要求和条件作出实质性响应。否则，均被视为无效投标文件。本次报价包括全部货物和服务所发生的费用，包括但不限于全部货物及辅材的提供、产品制造、质保期内易损件、备品备件、材料、辅材及产品运输、装卸、搬运、保管、检验、包装、运输保险费、调试费、技术服务支持、保修期内维保服务等相关费用、利润、税金、验收费、全部产品通过验收并交付使用及保修等一切费用，以及供应商认为需要的其他费用等。供应商报价时应充分考虑现场环境以及国家政策性调整等风险因素，在合同实施期间，供应商所报的单价在合同实施期间不因市场变化因素而变动，最终根据实际采购数量按固定单价结算。</w:t>
      </w:r>
    </w:p>
    <w:p>
      <w:pPr>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b/>
          <w:kern w:val="0"/>
          <w:sz w:val="28"/>
          <w:szCs w:val="28"/>
        </w:rPr>
        <w:t>六、验收要求：</w:t>
      </w:r>
      <w:r>
        <w:rPr>
          <w:rFonts w:hint="eastAsia" w:cs="仿宋" w:asciiTheme="minorEastAsia" w:hAnsiTheme="minorEastAsia" w:eastAsiaTheme="minorEastAsia"/>
          <w:kern w:val="0"/>
          <w:sz w:val="28"/>
          <w:szCs w:val="28"/>
        </w:rPr>
        <w:t>中标人在货物进场时，应由启东市市场监督管理局组织抽样检验，如在抽检过程中中标人不能到场配合的，将视招标人为其委托单位配合抽检，并在相关文书签字确认; 启东市市场监督管理局认为有必要的情况下，可采取公证抽样取证办法。在所有货物中随机抽取样品后送国家认可的检测机构进行检测，如检测不合格的，招标人有权无条件退、换货物，由此引起的所有损失均由中标人自行承担且全部履约保证金不予退还。货物通过合格检测的，则可进入安装施工环节;安装、调试完毕后，由采购方进行验收。如验收时发现所供货物的数量、品牌、技术参数等与招投标文件不一致，或无有效产品合格证、存在安全隐患等，采购方将向成交供应商签发整改通知书。成交供应商在收到整改通知书后七日内必须按要求整改，如再次不符合要求或逾期，采购人将视作项目整体验收不合格，终止合同履行，履约保证金不予退还并报相关部门进行处理。验收合格的由招标人组织验收小组进行最终验收并签发验收单。</w:t>
      </w:r>
    </w:p>
    <w:p>
      <w:pPr>
        <w:snapToGrid w:val="0"/>
        <w:spacing w:line="500" w:lineRule="exact"/>
        <w:ind w:firstLine="560" w:firstLineChars="200"/>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七、成交原则：符合采购需求且总报价最低者成交。</w:t>
      </w:r>
    </w:p>
    <w:p>
      <w:pPr>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符合采购需求且总价最低者成交，如最低总报价相同时，则采用抽签方式确定中标单位。</w:t>
      </w:r>
    </w:p>
    <w:p>
      <w:pPr>
        <w:spacing w:line="500" w:lineRule="exact"/>
        <w:ind w:firstLine="560" w:firstLineChars="200"/>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八、合同签订：</w:t>
      </w:r>
    </w:p>
    <w:p>
      <w:pPr>
        <w:widowControl/>
        <w:spacing w:line="500" w:lineRule="exact"/>
        <w:ind w:firstLine="624"/>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成交供应商应当在成交通知书发出之日起30日内，按照采购文件确定的事项与采购人签订采购合同</w:t>
      </w:r>
      <w:r>
        <w:rPr>
          <w:rFonts w:cs="仿宋" w:asciiTheme="minorEastAsia" w:hAnsiTheme="minorEastAsia" w:eastAsiaTheme="minorEastAsia"/>
          <w:kern w:val="0"/>
          <w:sz w:val="28"/>
          <w:szCs w:val="28"/>
        </w:rPr>
        <w:t>。</w:t>
      </w:r>
    </w:p>
    <w:p>
      <w:pPr>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b/>
          <w:bCs/>
          <w:sz w:val="28"/>
          <w:szCs w:val="28"/>
        </w:rPr>
        <w:t>九、付款方式</w:t>
      </w:r>
      <w:r>
        <w:rPr>
          <w:rFonts w:hint="eastAsia" w:cs="仿宋" w:asciiTheme="minorEastAsia" w:hAnsiTheme="minorEastAsia" w:eastAsiaTheme="minorEastAsia"/>
          <w:b/>
          <w:bCs/>
          <w:sz w:val="28"/>
          <w:szCs w:val="28"/>
          <w:lang w:val="zh-CN"/>
        </w:rPr>
        <w:t>：</w:t>
      </w:r>
      <w:r>
        <w:rPr>
          <w:rFonts w:hint="eastAsia" w:cs="仿宋" w:asciiTheme="minorEastAsia" w:hAnsiTheme="minorEastAsia" w:eastAsiaTheme="minorEastAsia"/>
          <w:kern w:val="0"/>
          <w:sz w:val="28"/>
          <w:szCs w:val="28"/>
        </w:rPr>
        <w:t>凭启东市市场监督管理局合格的检测报告或有效的证明文件作为付款依据。合同签订后，设备到场安装调试完毕，并经采购人验收合格后，且待上级资金拨款后，供货方提供有效发票，采购方付至合同价的80%，待审计结束，付至审计价的90%，余款在质保期（验收合格之日算起）满后一次性付清。</w:t>
      </w:r>
    </w:p>
    <w:p>
      <w:pPr>
        <w:spacing w:line="500" w:lineRule="exact"/>
        <w:ind w:firstLine="560" w:firstLineChars="200"/>
        <w:jc w:val="left"/>
        <w:rPr>
          <w:rFonts w:cs="仿宋" w:asciiTheme="minorEastAsia" w:hAnsiTheme="minorEastAsia" w:eastAsiaTheme="minorEastAsia"/>
          <w:b/>
          <w:bCs/>
          <w:sz w:val="28"/>
          <w:szCs w:val="28"/>
          <w:lang w:val="zh-CN"/>
        </w:rPr>
      </w:pPr>
      <w:r>
        <w:rPr>
          <w:rFonts w:hint="eastAsia" w:cs="仿宋" w:asciiTheme="minorEastAsia" w:hAnsiTheme="minorEastAsia" w:eastAsiaTheme="minorEastAsia"/>
          <w:b/>
          <w:bCs/>
          <w:sz w:val="28"/>
          <w:szCs w:val="28"/>
        </w:rPr>
        <w:t>十</w:t>
      </w:r>
      <w:r>
        <w:rPr>
          <w:rFonts w:hint="eastAsia" w:cs="仿宋" w:asciiTheme="minorEastAsia" w:hAnsiTheme="minorEastAsia" w:eastAsiaTheme="minorEastAsia"/>
          <w:b/>
          <w:bCs/>
          <w:sz w:val="28"/>
          <w:szCs w:val="28"/>
          <w:lang w:val="zh-CN"/>
        </w:rPr>
        <w:t>、保证金：</w:t>
      </w:r>
    </w:p>
    <w:bookmarkEnd w:id="55"/>
    <w:p>
      <w:pPr>
        <w:adjustRightInd w:val="0"/>
        <w:snapToGrid w:val="0"/>
        <w:spacing w:line="500" w:lineRule="exact"/>
        <w:ind w:firstLine="560" w:firstLineChars="200"/>
        <w:jc w:val="left"/>
        <w:rPr>
          <w:rFonts w:cs="仿宋" w:asciiTheme="minorEastAsia" w:hAnsiTheme="minorEastAsia" w:eastAsiaTheme="minorEastAsia"/>
          <w:sz w:val="28"/>
          <w:szCs w:val="28"/>
        </w:rPr>
      </w:pPr>
      <w:bookmarkStart w:id="56" w:name="_Toc82505665"/>
      <w:r>
        <w:rPr>
          <w:rFonts w:hint="eastAsia" w:cs="仿宋" w:asciiTheme="minorEastAsia" w:hAnsiTheme="minorEastAsia" w:eastAsiaTheme="minorEastAsia"/>
          <w:sz w:val="28"/>
          <w:szCs w:val="28"/>
        </w:rPr>
        <w:t>1、投标保证金:免收投标保证金。</w:t>
      </w:r>
    </w:p>
    <w:p>
      <w:pPr>
        <w:overflowPunct w:val="0"/>
        <w:spacing w:line="500" w:lineRule="exact"/>
        <w:ind w:firstLine="560" w:firstLineChars="200"/>
        <w:jc w:val="left"/>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履约保证金：①本项目成交后的履约保证金为项目成交价的10%，成交供应商的履约保证金须在中标通知书发出之日起至合同签订前汇入采购单位账户（缴纳形式：银行转账或银行汇票或履约保函），成交供应商凭成交通知书与采购单位签订合同。超期或未有协商，则视为自动放弃中标资格。</w:t>
      </w:r>
    </w:p>
    <w:p>
      <w:pPr>
        <w:overflowPunct w:val="0"/>
        <w:spacing w:line="500" w:lineRule="exact"/>
        <w:ind w:firstLine="560" w:firstLineChars="200"/>
        <w:jc w:val="left"/>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②履约保证金在货物投入使用并正常运行后结付货物价款时退还。</w:t>
      </w:r>
    </w:p>
    <w:p>
      <w:pPr>
        <w:overflowPunct w:val="0"/>
        <w:spacing w:line="500" w:lineRule="exact"/>
        <w:ind w:firstLine="560" w:firstLineChars="200"/>
        <w:jc w:val="left"/>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③发生以下情况的，履约保证金不予退还或部分退还：</w:t>
      </w:r>
    </w:p>
    <w:p>
      <w:pPr>
        <w:overflowPunct w:val="0"/>
        <w:spacing w:line="500" w:lineRule="exact"/>
        <w:ind w:firstLine="560" w:firstLineChars="200"/>
        <w:jc w:val="left"/>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a.签订合同后，成交供应商不履行合同义务的，采购单位有权全额扣除履约保证金，全额不予退还，同时采购单位亦有权终止合同，成交供应商还须承担相应的法律赔偿责任。</w:t>
      </w:r>
    </w:p>
    <w:p>
      <w:pPr>
        <w:overflowPunct w:val="0"/>
        <w:spacing w:line="500" w:lineRule="exact"/>
        <w:ind w:firstLine="560" w:firstLineChars="200"/>
        <w:jc w:val="left"/>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b.成交供应商在履约过程中发生违约行为，给采购单位造成损失的，采购单位有权在成交供应商缴纳的履约保证金中予以扣款，以弥补采购单位经济损失，不足的部分成交供应商另外补齐。</w:t>
      </w:r>
    </w:p>
    <w:p>
      <w:pPr>
        <w:pStyle w:val="2"/>
        <w:widowControl/>
        <w:adjustRightInd w:val="0"/>
        <w:snapToGrid w:val="0"/>
        <w:spacing w:before="0" w:after="0" w:line="500" w:lineRule="exact"/>
        <w:ind w:firstLine="2240" w:firstLineChars="800"/>
        <w:jc w:val="left"/>
        <w:rPr>
          <w:rFonts w:cs="仿宋" w:asciiTheme="minorEastAsia" w:hAnsiTheme="minorEastAsia" w:eastAsiaTheme="minorEastAsia"/>
          <w:b w:val="0"/>
          <w:sz w:val="28"/>
          <w:szCs w:val="28"/>
        </w:rPr>
      </w:pPr>
    </w:p>
    <w:p>
      <w:pPr>
        <w:pStyle w:val="2"/>
        <w:widowControl/>
        <w:adjustRightInd w:val="0"/>
        <w:snapToGrid w:val="0"/>
        <w:spacing w:before="0" w:after="0" w:line="500" w:lineRule="exact"/>
        <w:ind w:firstLine="2240" w:firstLineChars="800"/>
        <w:jc w:val="left"/>
        <w:rPr>
          <w:rFonts w:cs="仿宋" w:asciiTheme="minorEastAsia" w:hAnsiTheme="minorEastAsia" w:eastAsiaTheme="minorEastAsia"/>
          <w:b w:val="0"/>
          <w:sz w:val="28"/>
          <w:szCs w:val="28"/>
        </w:rPr>
      </w:pPr>
    </w:p>
    <w:p>
      <w:pPr>
        <w:pStyle w:val="2"/>
        <w:widowControl/>
        <w:adjustRightInd w:val="0"/>
        <w:snapToGrid w:val="0"/>
        <w:spacing w:before="0" w:after="0" w:line="500" w:lineRule="exact"/>
        <w:ind w:firstLine="2240" w:firstLineChars="800"/>
        <w:jc w:val="left"/>
        <w:rPr>
          <w:rFonts w:cs="仿宋" w:asciiTheme="minorEastAsia" w:hAnsiTheme="minorEastAsia" w:eastAsiaTheme="minorEastAsia"/>
          <w:b w:val="0"/>
          <w:sz w:val="28"/>
          <w:szCs w:val="28"/>
        </w:rPr>
      </w:pPr>
    </w:p>
    <w:p>
      <w:pPr>
        <w:pStyle w:val="2"/>
        <w:widowControl/>
        <w:adjustRightInd w:val="0"/>
        <w:snapToGrid w:val="0"/>
        <w:spacing w:before="0" w:after="0" w:line="500" w:lineRule="exact"/>
        <w:ind w:firstLine="2240" w:firstLineChars="800"/>
        <w:rPr>
          <w:rFonts w:cs="仿宋" w:asciiTheme="minorEastAsia" w:hAnsiTheme="minorEastAsia" w:eastAsiaTheme="minorEastAsia"/>
          <w:b w:val="0"/>
          <w:sz w:val="28"/>
          <w:szCs w:val="28"/>
        </w:rPr>
      </w:pPr>
    </w:p>
    <w:p>
      <w:pPr>
        <w:rPr>
          <w:rFonts w:cs="仿宋" w:asciiTheme="minorEastAsia" w:hAnsiTheme="minorEastAsia" w:eastAsiaTheme="minorEastAsia"/>
          <w:b w:val="0"/>
          <w:sz w:val="28"/>
          <w:szCs w:val="28"/>
        </w:rPr>
      </w:pPr>
    </w:p>
    <w:p>
      <w:pPr>
        <w:rPr>
          <w:rFonts w:cs="仿宋" w:asciiTheme="minorEastAsia" w:hAnsiTheme="minorEastAsia" w:eastAsiaTheme="minorEastAsia"/>
          <w:b w:val="0"/>
          <w:sz w:val="28"/>
          <w:szCs w:val="28"/>
        </w:rPr>
      </w:pPr>
    </w:p>
    <w:p>
      <w:pPr>
        <w:pStyle w:val="2"/>
        <w:widowControl/>
        <w:adjustRightInd w:val="0"/>
        <w:snapToGrid w:val="0"/>
        <w:spacing w:before="0" w:after="0" w:line="500" w:lineRule="exact"/>
        <w:ind w:firstLine="2240" w:firstLineChars="800"/>
        <w:rPr>
          <w:rFonts w:cs="仿宋" w:asciiTheme="minorEastAsia" w:hAnsiTheme="minorEastAsia" w:eastAsiaTheme="minorEastAsia"/>
          <w:b w:val="0"/>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widowControl/>
        <w:ind w:firstLine="2800" w:firstLineChars="1000"/>
        <w:jc w:val="left"/>
        <w:rPr>
          <w:rFonts w:cs="仿宋" w:asciiTheme="minorEastAsia" w:hAnsiTheme="minorEastAsia" w:eastAsiaTheme="minorEastAsia"/>
          <w:kern w:val="44"/>
          <w:sz w:val="28"/>
          <w:szCs w:val="28"/>
        </w:rPr>
      </w:pPr>
      <w:r>
        <w:rPr>
          <w:rFonts w:hint="eastAsia" w:cs="仿宋" w:asciiTheme="minorEastAsia" w:hAnsiTheme="minorEastAsia" w:eastAsiaTheme="minorEastAsia"/>
          <w:b/>
          <w:sz w:val="28"/>
          <w:szCs w:val="28"/>
        </w:rPr>
        <w:t>第四部分  响应文件</w:t>
      </w:r>
      <w:bookmarkEnd w:id="54"/>
      <w:r>
        <w:rPr>
          <w:rFonts w:hint="eastAsia" w:cs="仿宋" w:asciiTheme="minorEastAsia" w:hAnsiTheme="minorEastAsia" w:eastAsiaTheme="minorEastAsia"/>
          <w:b/>
          <w:sz w:val="28"/>
          <w:szCs w:val="28"/>
        </w:rPr>
        <w:t>组成</w:t>
      </w:r>
      <w:bookmarkEnd w:id="56"/>
    </w:p>
    <w:p>
      <w:pPr>
        <w:adjustRightInd w:val="0"/>
        <w:snapToGrid w:val="0"/>
        <w:spacing w:line="500" w:lineRule="exact"/>
        <w:ind w:firstLine="560" w:firstLineChars="200"/>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响应文件必须按照以下格式及要求进行制作、签署、密封和提交。（以下内容必须全部提供，</w:t>
      </w:r>
      <w:r>
        <w:rPr>
          <w:rFonts w:hint="eastAsia" w:cs="仿宋" w:asciiTheme="minorEastAsia" w:hAnsiTheme="minorEastAsia" w:eastAsiaTheme="minorEastAsia"/>
          <w:b/>
          <w:bCs/>
          <w:sz w:val="28"/>
          <w:szCs w:val="28"/>
          <w:lang w:val="zh-CN"/>
        </w:rPr>
        <w:t>并全部加盖</w:t>
      </w:r>
      <w:r>
        <w:rPr>
          <w:rFonts w:hint="eastAsia" w:cs="仿宋" w:asciiTheme="minorEastAsia" w:hAnsiTheme="minorEastAsia" w:eastAsiaTheme="minorEastAsia"/>
          <w:b/>
          <w:bCs/>
          <w:sz w:val="28"/>
          <w:szCs w:val="28"/>
        </w:rPr>
        <w:t>报价单位公章</w:t>
      </w:r>
      <w:r>
        <w:rPr>
          <w:rFonts w:hint="eastAsia" w:cs="仿宋" w:asciiTheme="minorEastAsia" w:hAnsiTheme="minorEastAsia" w:eastAsiaTheme="minorEastAsia"/>
          <w:b/>
          <w:bCs/>
          <w:sz w:val="28"/>
          <w:szCs w:val="28"/>
          <w:lang w:val="zh-CN"/>
        </w:rPr>
        <w:t>。</w:t>
      </w:r>
      <w:r>
        <w:rPr>
          <w:rFonts w:hint="eastAsia" w:cs="仿宋" w:asciiTheme="minorEastAsia" w:hAnsiTheme="minorEastAsia" w:eastAsiaTheme="minorEastAsia"/>
          <w:b/>
          <w:bCs/>
          <w:sz w:val="28"/>
          <w:szCs w:val="28"/>
        </w:rPr>
        <w:t>响应文件格式中要求签字的不可打印填写，否则视为无效响应。）</w:t>
      </w:r>
    </w:p>
    <w:p>
      <w:pPr>
        <w:adjustRightInd w:val="0"/>
        <w:snapToGrid w:val="0"/>
        <w:spacing w:line="500" w:lineRule="exact"/>
        <w:ind w:firstLine="560" w:firstLineChars="200"/>
        <w:rPr>
          <w:rFonts w:cs="仿宋" w:asciiTheme="minorEastAsia" w:hAnsiTheme="minorEastAsia" w:eastAsiaTheme="minorEastAsia"/>
          <w:kern w:val="0"/>
          <w:sz w:val="28"/>
          <w:szCs w:val="28"/>
          <w:lang w:val="zh-CN"/>
        </w:rPr>
      </w:pPr>
      <w:r>
        <w:rPr>
          <w:rFonts w:hint="eastAsia" w:cs="仿宋" w:asciiTheme="minorEastAsia" w:hAnsiTheme="minorEastAsia" w:eastAsiaTheme="minorEastAsia"/>
          <w:kern w:val="0"/>
          <w:sz w:val="28"/>
          <w:szCs w:val="28"/>
          <w:lang w:val="zh-CN"/>
        </w:rPr>
        <w:t>1.</w:t>
      </w:r>
      <w:r>
        <w:rPr>
          <w:rFonts w:hint="eastAsia" w:cs="仿宋" w:asciiTheme="minorEastAsia" w:hAnsiTheme="minorEastAsia" w:eastAsiaTheme="minorEastAsia"/>
          <w:kern w:val="0"/>
          <w:sz w:val="28"/>
          <w:szCs w:val="28"/>
        </w:rPr>
        <w:t>投标人符合《政府采购法》第二十二条规定条件的声明函</w:t>
      </w:r>
      <w:r>
        <w:rPr>
          <w:rFonts w:hint="eastAsia" w:cs="仿宋" w:asciiTheme="minorEastAsia" w:hAnsiTheme="minorEastAsia" w:eastAsiaTheme="minorEastAsia"/>
          <w:kern w:val="0"/>
          <w:sz w:val="28"/>
          <w:szCs w:val="28"/>
          <w:lang w:val="zh-CN"/>
        </w:rPr>
        <w:t>（格式见附件1）；</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2.法定代表人身份证明书、法定代表人身份证复印件（格式见附件2）；</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3.法定代表人授权委托书、授权委托人（即代理人）身份证复印件（格式见附件3</w:t>
      </w:r>
      <w:r>
        <w:rPr>
          <w:rFonts w:hint="eastAsia" w:cs="仿宋" w:asciiTheme="minorEastAsia" w:hAnsiTheme="minorEastAsia" w:eastAsiaTheme="minorEastAsia"/>
          <w:bCs/>
          <w:sz w:val="28"/>
          <w:szCs w:val="28"/>
        </w:rPr>
        <w:t>，</w:t>
      </w:r>
      <w:r>
        <w:rPr>
          <w:rFonts w:hint="eastAsia" w:cs="仿宋" w:asciiTheme="minorEastAsia" w:hAnsiTheme="minorEastAsia" w:eastAsiaTheme="minorEastAsia"/>
          <w:kern w:val="0"/>
          <w:sz w:val="28"/>
          <w:szCs w:val="28"/>
          <w:lang w:val="zh-CN"/>
        </w:rPr>
        <w:t>法定代表人参加的，无需提供授权委托书</w:t>
      </w:r>
      <w:r>
        <w:rPr>
          <w:rFonts w:hint="eastAsia" w:cs="仿宋" w:asciiTheme="minorEastAsia" w:hAnsiTheme="minorEastAsia" w:eastAsiaTheme="minorEastAsia"/>
          <w:sz w:val="28"/>
          <w:szCs w:val="28"/>
        </w:rPr>
        <w:t>）；</w:t>
      </w:r>
    </w:p>
    <w:p>
      <w:pPr>
        <w:adjustRightInd w:val="0"/>
        <w:snapToGrid w:val="0"/>
        <w:spacing w:line="500" w:lineRule="exact"/>
        <w:ind w:firstLine="560" w:firstLineChars="200"/>
        <w:jc w:val="left"/>
        <w:rPr>
          <w:rFonts w:cs="仿宋" w:asciiTheme="minorEastAsia" w:hAnsiTheme="minorEastAsia" w:eastAsiaTheme="minorEastAsia"/>
          <w:kern w:val="0"/>
          <w:sz w:val="28"/>
          <w:szCs w:val="28"/>
          <w:lang w:val="zh-CN"/>
        </w:rPr>
      </w:pPr>
      <w:r>
        <w:rPr>
          <w:rFonts w:hint="eastAsia" w:cs="仿宋" w:asciiTheme="minorEastAsia" w:hAnsiTheme="minorEastAsia" w:eastAsiaTheme="minorEastAsia"/>
          <w:kern w:val="0"/>
          <w:sz w:val="28"/>
          <w:szCs w:val="28"/>
        </w:rPr>
        <w:t>4.</w:t>
      </w:r>
      <w:r>
        <w:rPr>
          <w:rFonts w:hint="eastAsia" w:cs="仿宋" w:asciiTheme="minorEastAsia" w:hAnsiTheme="minorEastAsia" w:eastAsiaTheme="minorEastAsia"/>
          <w:sz w:val="28"/>
          <w:szCs w:val="28"/>
          <w:lang w:val="zh-CN"/>
        </w:rPr>
        <w:t>有效</w:t>
      </w:r>
      <w:r>
        <w:rPr>
          <w:rFonts w:hint="eastAsia" w:cs="仿宋" w:asciiTheme="minorEastAsia" w:hAnsiTheme="minorEastAsia" w:eastAsiaTheme="minorEastAsia"/>
          <w:kern w:val="0"/>
          <w:sz w:val="28"/>
          <w:szCs w:val="28"/>
          <w:lang w:val="zh-CN"/>
        </w:rPr>
        <w:t>的营业执照</w:t>
      </w:r>
      <w:r>
        <w:rPr>
          <w:rFonts w:hint="eastAsia" w:cs="仿宋" w:asciiTheme="minorEastAsia" w:hAnsiTheme="minorEastAsia" w:eastAsiaTheme="minorEastAsia"/>
          <w:kern w:val="0"/>
          <w:sz w:val="28"/>
          <w:szCs w:val="28"/>
        </w:rPr>
        <w:t>复印件</w:t>
      </w:r>
      <w:r>
        <w:rPr>
          <w:rFonts w:hint="eastAsia" w:cs="仿宋" w:asciiTheme="minorEastAsia" w:hAnsiTheme="minorEastAsia" w:eastAsiaTheme="minorEastAsia"/>
          <w:kern w:val="0"/>
          <w:sz w:val="28"/>
          <w:szCs w:val="28"/>
          <w:lang w:val="zh-CN"/>
        </w:rPr>
        <w:t>；</w:t>
      </w:r>
    </w:p>
    <w:p>
      <w:pPr>
        <w:adjustRightInd w:val="0"/>
        <w:snapToGrid w:val="0"/>
        <w:spacing w:line="500" w:lineRule="exact"/>
        <w:ind w:firstLine="560" w:firstLineChars="200"/>
        <w:rPr>
          <w:rFonts w:cs="仿宋" w:asciiTheme="minorEastAsia" w:hAnsiTheme="minorEastAsia" w:eastAsiaTheme="minorEastAsia"/>
          <w:kern w:val="0"/>
          <w:sz w:val="28"/>
          <w:szCs w:val="28"/>
          <w:lang w:val="zh-CN"/>
        </w:rPr>
      </w:pPr>
      <w:r>
        <w:rPr>
          <w:rFonts w:hint="eastAsia" w:cs="仿宋" w:asciiTheme="minorEastAsia" w:hAnsiTheme="minorEastAsia" w:eastAsiaTheme="minorEastAsia"/>
          <w:kern w:val="0"/>
          <w:sz w:val="28"/>
          <w:szCs w:val="28"/>
        </w:rPr>
        <w:t>5</w:t>
      </w:r>
      <w:r>
        <w:rPr>
          <w:rFonts w:hint="eastAsia" w:cs="仿宋" w:asciiTheme="minorEastAsia" w:hAnsiTheme="minorEastAsia" w:eastAsiaTheme="minorEastAsia"/>
          <w:kern w:val="0"/>
          <w:sz w:val="28"/>
          <w:szCs w:val="28"/>
          <w:lang w:val="zh-CN"/>
        </w:rPr>
        <w:t>.</w:t>
      </w:r>
      <w:r>
        <w:rPr>
          <w:rFonts w:hint="eastAsia" w:cs="仿宋" w:asciiTheme="minorEastAsia" w:hAnsiTheme="minorEastAsia" w:eastAsiaTheme="minorEastAsia"/>
          <w:sz w:val="28"/>
          <w:szCs w:val="28"/>
        </w:rPr>
        <w:t>质保承诺书（格式见附件4）</w:t>
      </w:r>
      <w:r>
        <w:rPr>
          <w:rFonts w:hint="eastAsia" w:cs="仿宋" w:asciiTheme="minorEastAsia" w:hAnsiTheme="minorEastAsia" w:eastAsiaTheme="minorEastAsia"/>
          <w:kern w:val="0"/>
          <w:sz w:val="28"/>
          <w:szCs w:val="28"/>
          <w:lang w:val="zh-CN"/>
        </w:rPr>
        <w:t>；</w:t>
      </w:r>
    </w:p>
    <w:p>
      <w:pPr>
        <w:pStyle w:val="15"/>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w:t>
      </w:r>
      <w:r>
        <w:rPr>
          <w:rFonts w:hint="eastAsia"/>
        </w:rPr>
        <w:t xml:space="preserve"> </w:t>
      </w:r>
      <w:r>
        <w:rPr>
          <w:rFonts w:hint="eastAsia" w:cs="仿宋" w:asciiTheme="minorEastAsia" w:hAnsiTheme="minorEastAsia" w:eastAsiaTheme="minorEastAsia"/>
          <w:sz w:val="28"/>
          <w:szCs w:val="28"/>
        </w:rPr>
        <w:t>提供供应商通过“信用中国”下载的信用信息报告（报告生成日期为本公告发布之日起至响应文件递交截止时间止）；</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7.报价明细表（格式见附件6）；</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8.</w:t>
      </w:r>
      <w:r>
        <w:rPr>
          <w:rFonts w:hint="eastAsia"/>
        </w:rPr>
        <w:t xml:space="preserve"> </w:t>
      </w:r>
      <w:r>
        <w:rPr>
          <w:rFonts w:hint="eastAsia" w:cs="仿宋" w:asciiTheme="minorEastAsia" w:hAnsiTheme="minorEastAsia" w:eastAsiaTheme="minorEastAsia"/>
          <w:sz w:val="28"/>
          <w:szCs w:val="28"/>
        </w:rPr>
        <w:t>采购需求一览表中要求提供的其他证明材料。</w:t>
      </w:r>
    </w:p>
    <w:p>
      <w:pPr>
        <w:adjustRightInd w:val="0"/>
        <w:snapToGrid w:val="0"/>
        <w:spacing w:line="500" w:lineRule="exact"/>
        <w:ind w:firstLine="560" w:firstLineChars="200"/>
        <w:jc w:val="left"/>
        <w:rPr>
          <w:rFonts w:cs="仿宋" w:asciiTheme="minorEastAsia" w:hAnsiTheme="minorEastAsia" w:eastAsiaTheme="minorEastAsia"/>
          <w:sz w:val="28"/>
          <w:szCs w:val="28"/>
          <w:lang w:val="zh-CN"/>
        </w:rPr>
      </w:pPr>
      <w:r>
        <w:rPr>
          <w:rFonts w:hint="eastAsia" w:cs="仿宋" w:asciiTheme="minorEastAsia" w:hAnsiTheme="minorEastAsia" w:eastAsiaTheme="minorEastAsia"/>
          <w:b/>
          <w:bCs/>
          <w:sz w:val="28"/>
          <w:szCs w:val="28"/>
        </w:rPr>
        <w:t>注：响应文件1份正本1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pStyle w:val="9"/>
        <w:rPr>
          <w:rFonts w:cs="宋体" w:asciiTheme="minorEastAsia" w:hAnsiTheme="minorEastAsia" w:eastAsiaTheme="minorEastAsia"/>
          <w:sz w:val="28"/>
          <w:szCs w:val="28"/>
          <w:lang w:val="zh-CN"/>
        </w:rPr>
      </w:pPr>
    </w:p>
    <w:p>
      <w:pPr>
        <w:rPr>
          <w:rFonts w:cs="宋体" w:asciiTheme="minorEastAsia" w:hAnsiTheme="minorEastAsia" w:eastAsiaTheme="minorEastAsia"/>
          <w:kern w:val="0"/>
          <w:sz w:val="28"/>
          <w:szCs w:val="28"/>
          <w:lang w:val="zh-CN"/>
        </w:rPr>
      </w:pPr>
      <w:r>
        <w:rPr>
          <w:rFonts w:hint="eastAsia" w:cs="宋体" w:asciiTheme="minorEastAsia" w:hAnsiTheme="minorEastAsia" w:eastAsiaTheme="minorEastAsia"/>
          <w:kern w:val="0"/>
          <w:sz w:val="28"/>
          <w:szCs w:val="28"/>
          <w:lang w:val="zh-CN"/>
        </w:rPr>
        <w:br w:type="page"/>
      </w:r>
      <w:r>
        <w:rPr>
          <w:rFonts w:hint="eastAsia" w:cs="仿宋" w:asciiTheme="minorEastAsia" w:hAnsiTheme="minorEastAsia" w:eastAsiaTheme="minorEastAsia"/>
          <w:kern w:val="0"/>
          <w:sz w:val="28"/>
          <w:szCs w:val="28"/>
          <w:lang w:val="zh-CN"/>
        </w:rPr>
        <w:t>附件1</w:t>
      </w: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投标人符合《政府采购法》第二十二条规定条件的声明函</w:t>
      </w:r>
    </w:p>
    <w:p>
      <w:pPr>
        <w:spacing w:line="460" w:lineRule="exact"/>
        <w:rPr>
          <w:rFonts w:cs="仿宋" w:asciiTheme="minorEastAsia" w:hAnsiTheme="minorEastAsia" w:eastAsiaTheme="minorEastAsia"/>
          <w:b/>
          <w:bCs/>
          <w:sz w:val="28"/>
          <w:szCs w:val="28"/>
        </w:rPr>
      </w:pPr>
    </w:p>
    <w:p>
      <w:pPr>
        <w:spacing w:line="52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Cs/>
          <w:sz w:val="28"/>
          <w:szCs w:val="28"/>
        </w:rPr>
        <w:t>我单位参加</w:t>
      </w:r>
      <w:r>
        <w:rPr>
          <w:rFonts w:hint="eastAsia" w:cs="仿宋" w:asciiTheme="minorEastAsia" w:hAnsiTheme="minorEastAsia" w:eastAsiaTheme="minorEastAsia"/>
          <w:bCs/>
          <w:sz w:val="28"/>
          <w:szCs w:val="28"/>
          <w:u w:val="single"/>
        </w:rPr>
        <w:t>________________ _</w:t>
      </w:r>
      <w:r>
        <w:rPr>
          <w:rFonts w:hint="eastAsia" w:cs="仿宋" w:asciiTheme="minorEastAsia" w:hAnsiTheme="minorEastAsia" w:eastAsiaTheme="minorEastAsia"/>
          <w:bCs/>
          <w:sz w:val="28"/>
          <w:szCs w:val="28"/>
        </w:rPr>
        <w:t>（项目名称）的投标活动。针对《中华人民共和国政府采购法》第二十二条规定做出如下声明：</w:t>
      </w:r>
    </w:p>
    <w:p>
      <w:pPr>
        <w:spacing w:line="520" w:lineRule="exact"/>
        <w:ind w:firstLine="482"/>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1.我单位具有独立承担民事责任的能力；</w:t>
      </w:r>
    </w:p>
    <w:p>
      <w:pPr>
        <w:spacing w:line="520" w:lineRule="exact"/>
        <w:ind w:firstLine="482"/>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2.我单位具有良好的商业信誉和健全的财务会计制度；</w:t>
      </w:r>
    </w:p>
    <w:p>
      <w:pPr>
        <w:spacing w:line="520" w:lineRule="exact"/>
        <w:ind w:firstLine="482"/>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3.我单位具有履行合同所必需的设备和专业技术能力；</w:t>
      </w:r>
    </w:p>
    <w:p>
      <w:pPr>
        <w:spacing w:line="520" w:lineRule="exact"/>
        <w:ind w:firstLine="482"/>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4.我单位有依法缴纳税收和社会保障资金的良好记录；</w:t>
      </w:r>
    </w:p>
    <w:p>
      <w:pPr>
        <w:spacing w:line="520" w:lineRule="exact"/>
        <w:ind w:firstLine="482"/>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6.我单位满足法律、行政法规规定的其他条件。</w:t>
      </w:r>
    </w:p>
    <w:p>
      <w:pPr>
        <w:spacing w:line="500" w:lineRule="exact"/>
        <w:ind w:firstLine="482"/>
        <w:rPr>
          <w:rFonts w:cs="仿宋" w:asciiTheme="minorEastAsia" w:hAnsiTheme="minorEastAsia" w:eastAsiaTheme="minorEastAsia"/>
          <w:sz w:val="28"/>
          <w:szCs w:val="28"/>
        </w:rPr>
      </w:pPr>
    </w:p>
    <w:p>
      <w:pPr>
        <w:spacing w:line="500" w:lineRule="exact"/>
        <w:rPr>
          <w:rFonts w:cs="仿宋" w:asciiTheme="minorEastAsia" w:hAnsiTheme="minorEastAsia" w:eastAsiaTheme="minorEastAsia"/>
          <w:sz w:val="28"/>
          <w:szCs w:val="28"/>
        </w:rPr>
      </w:pPr>
    </w:p>
    <w:p>
      <w:pPr>
        <w:spacing w:line="500" w:lineRule="exact"/>
        <w:rPr>
          <w:rFonts w:cs="仿宋" w:asciiTheme="minorEastAsia" w:hAnsiTheme="minorEastAsia" w:eastAsiaTheme="minorEastAsia"/>
          <w:bCs/>
          <w:sz w:val="28"/>
          <w:szCs w:val="28"/>
        </w:rPr>
      </w:pPr>
    </w:p>
    <w:p>
      <w:pPr>
        <w:spacing w:line="500" w:lineRule="exact"/>
        <w:rPr>
          <w:rFonts w:cs="仿宋" w:asciiTheme="minorEastAsia" w:hAnsiTheme="minorEastAsia" w:eastAsiaTheme="minorEastAsia"/>
          <w:bCs/>
          <w:sz w:val="28"/>
          <w:szCs w:val="28"/>
        </w:rPr>
      </w:pPr>
    </w:p>
    <w:p>
      <w:pPr>
        <w:spacing w:line="500" w:lineRule="exact"/>
        <w:rPr>
          <w:rFonts w:cs="仿宋" w:asciiTheme="minorEastAsia" w:hAnsiTheme="minorEastAsia" w:eastAsiaTheme="minorEastAsia"/>
          <w:bCs/>
          <w:sz w:val="28"/>
          <w:szCs w:val="28"/>
        </w:rPr>
      </w:pPr>
    </w:p>
    <w:p>
      <w:pPr>
        <w:spacing w:line="460" w:lineRule="exact"/>
        <w:jc w:val="center"/>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 xml:space="preserve">                 承诺人名称（公章）：</w:t>
      </w:r>
    </w:p>
    <w:p>
      <w:pPr>
        <w:spacing w:line="460" w:lineRule="exact"/>
        <w:ind w:right="1120" w:firstLine="3920" w:firstLineChars="14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 xml:space="preserve"> 日期：</w:t>
      </w:r>
      <w:r>
        <w:rPr>
          <w:rFonts w:hint="eastAsia" w:cs="仿宋" w:asciiTheme="minorEastAsia" w:hAnsiTheme="minorEastAsia" w:eastAsiaTheme="minorEastAsia"/>
          <w:bCs/>
          <w:sz w:val="28"/>
          <w:szCs w:val="28"/>
          <w:u w:val="single"/>
        </w:rPr>
        <w:t xml:space="preserve">    </w:t>
      </w:r>
      <w:r>
        <w:rPr>
          <w:rFonts w:hint="eastAsia" w:cs="仿宋" w:asciiTheme="minorEastAsia" w:hAnsiTheme="minorEastAsia" w:eastAsiaTheme="minorEastAsia"/>
          <w:bCs/>
          <w:sz w:val="28"/>
          <w:szCs w:val="28"/>
        </w:rPr>
        <w:t>年</w:t>
      </w:r>
      <w:r>
        <w:rPr>
          <w:rFonts w:hint="eastAsia" w:cs="仿宋" w:asciiTheme="minorEastAsia" w:hAnsiTheme="minorEastAsia" w:eastAsiaTheme="minorEastAsia"/>
          <w:bCs/>
          <w:sz w:val="28"/>
          <w:szCs w:val="28"/>
          <w:u w:val="single"/>
        </w:rPr>
        <w:t xml:space="preserve">   </w:t>
      </w:r>
      <w:r>
        <w:rPr>
          <w:rFonts w:hint="eastAsia" w:cs="仿宋" w:asciiTheme="minorEastAsia" w:hAnsiTheme="minorEastAsia" w:eastAsiaTheme="minorEastAsia"/>
          <w:bCs/>
          <w:sz w:val="28"/>
          <w:szCs w:val="28"/>
        </w:rPr>
        <w:t>月</w:t>
      </w:r>
      <w:r>
        <w:rPr>
          <w:rFonts w:hint="eastAsia" w:cs="仿宋" w:asciiTheme="minorEastAsia" w:hAnsiTheme="minorEastAsia" w:eastAsiaTheme="minorEastAsia"/>
          <w:bCs/>
          <w:sz w:val="28"/>
          <w:szCs w:val="28"/>
          <w:u w:val="single"/>
        </w:rPr>
        <w:t xml:space="preserve">   </w:t>
      </w:r>
      <w:r>
        <w:rPr>
          <w:rFonts w:hint="eastAsia" w:cs="仿宋" w:asciiTheme="minorEastAsia" w:hAnsiTheme="minorEastAsia" w:eastAsiaTheme="minorEastAsia"/>
          <w:bCs/>
          <w:sz w:val="28"/>
          <w:szCs w:val="28"/>
        </w:rPr>
        <w:t>日</w:t>
      </w:r>
    </w:p>
    <w:p>
      <w:pPr>
        <w:spacing w:line="360" w:lineRule="auto"/>
        <w:rPr>
          <w:rFonts w:cs="仿宋" w:asciiTheme="minorEastAsia" w:hAnsiTheme="minorEastAsia" w:eastAsiaTheme="minorEastAsia"/>
          <w:bCs/>
          <w:sz w:val="28"/>
          <w:szCs w:val="28"/>
        </w:rPr>
      </w:pPr>
    </w:p>
    <w:p>
      <w:pPr>
        <w:spacing w:line="360" w:lineRule="auto"/>
        <w:rPr>
          <w:rFonts w:cs="仿宋" w:asciiTheme="minorEastAsia" w:hAnsiTheme="minorEastAsia" w:eastAsiaTheme="minorEastAsia"/>
          <w:bCs/>
          <w:sz w:val="28"/>
          <w:szCs w:val="28"/>
        </w:rPr>
      </w:pPr>
    </w:p>
    <w:p>
      <w:pPr>
        <w:spacing w:line="360" w:lineRule="auto"/>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附件2</w:t>
      </w:r>
    </w:p>
    <w:p>
      <w:pPr>
        <w:spacing w:line="560" w:lineRule="exact"/>
        <w:jc w:val="center"/>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法定代表人身份证明</w:t>
      </w:r>
    </w:p>
    <w:p>
      <w:pPr>
        <w:spacing w:line="480" w:lineRule="exact"/>
        <w:rPr>
          <w:rFonts w:cs="仿宋" w:asciiTheme="minorEastAsia" w:hAnsiTheme="minorEastAsia" w:eastAsiaTheme="minorEastAsia"/>
          <w:sz w:val="28"/>
          <w:szCs w:val="28"/>
        </w:rPr>
      </w:pPr>
    </w:p>
    <w:p>
      <w:pPr>
        <w:spacing w:line="480" w:lineRule="exact"/>
        <w:ind w:firstLine="480"/>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先生/女士，身份证号码：</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 xml:space="preserve"> ，</w:t>
      </w:r>
    </w:p>
    <w:p>
      <w:pPr>
        <w:spacing w:line="48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现任我单位职务</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 xml:space="preserve"> ，为法定代表人，特此证明。</w:t>
      </w:r>
    </w:p>
    <w:p>
      <w:pPr>
        <w:spacing w:line="480" w:lineRule="exact"/>
        <w:ind w:firstLine="480"/>
        <w:rPr>
          <w:rFonts w:cs="仿宋" w:asciiTheme="minorEastAsia" w:hAnsiTheme="minorEastAsia" w:eastAsiaTheme="minorEastAsia"/>
          <w:sz w:val="28"/>
          <w:szCs w:val="28"/>
        </w:rPr>
      </w:pPr>
    </w:p>
    <w:p>
      <w:pPr>
        <w:spacing w:after="120"/>
        <w:rPr>
          <w:rFonts w:cs="仿宋" w:asciiTheme="minorEastAsia" w:hAnsiTheme="minorEastAsia" w:eastAsiaTheme="minorEastAsia"/>
          <w:sz w:val="28"/>
          <w:szCs w:val="28"/>
        </w:rPr>
      </w:pPr>
    </w:p>
    <w:p>
      <w:pPr>
        <w:adjustRightInd w:val="0"/>
        <w:spacing w:line="480" w:lineRule="auto"/>
        <w:ind w:left="3255" w:leftChars="1550" w:firstLine="840" w:firstLineChars="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单位名称(盖公章)：</w:t>
      </w:r>
    </w:p>
    <w:p>
      <w:pPr>
        <w:adjustRightInd w:val="0"/>
        <w:spacing w:line="480" w:lineRule="auto"/>
        <w:ind w:firstLine="4200" w:firstLineChars="15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     年   月   日</w:t>
      </w:r>
    </w:p>
    <w:p>
      <w:pPr>
        <w:rPr>
          <w:rFonts w:cs="仿宋" w:asciiTheme="minorEastAsia" w:hAnsiTheme="minorEastAsia" w:eastAsiaTheme="minorEastAsia"/>
          <w:sz w:val="28"/>
          <w:szCs w:val="28"/>
        </w:rPr>
      </w:pPr>
    </w:p>
    <w:p>
      <w:pPr>
        <w:widowControl/>
        <w:spacing w:line="360" w:lineRule="auto"/>
        <w:rPr>
          <w:rFonts w:cs="仿宋" w:asciiTheme="minorEastAsia" w:hAnsiTheme="minorEastAsia" w:eastAsiaTheme="minorEastAsia"/>
          <w:b/>
          <w:bCs/>
          <w:kern w:val="0"/>
          <w:sz w:val="28"/>
          <w:szCs w:val="28"/>
        </w:rPr>
      </w:pPr>
      <w:r>
        <w:rPr>
          <w:rFonts w:hint="eastAsia" w:cs="仿宋" w:asciiTheme="minorEastAsia" w:hAnsiTheme="minorEastAsia" w:eastAsiaTheme="minorEastAsia"/>
          <w:b/>
          <w:sz w:val="28"/>
          <w:szCs w:val="28"/>
        </w:rPr>
        <w:t>附：法定代表人的身份证正反面复印件盖单位公章</w:t>
      </w:r>
    </w:p>
    <w:p>
      <w:pPr>
        <w:adjustRightInd w:val="0"/>
        <w:snapToGrid w:val="0"/>
        <w:spacing w:line="312" w:lineRule="auto"/>
        <w:ind w:firstLine="560" w:firstLineChars="200"/>
        <w:jc w:val="left"/>
        <w:rPr>
          <w:rFonts w:cs="仿宋" w:asciiTheme="minorEastAsia" w:hAnsiTheme="minorEastAsia" w:eastAsiaTheme="minorEastAsia"/>
          <w:b/>
          <w:sz w:val="28"/>
          <w:szCs w:val="28"/>
        </w:rPr>
      </w:pPr>
    </w:p>
    <w:p>
      <w:pPr>
        <w:adjustRightInd w:val="0"/>
        <w:snapToGrid w:val="0"/>
        <w:spacing w:line="312" w:lineRule="auto"/>
        <w:jc w:val="left"/>
        <w:rPr>
          <w:rFonts w:cs="仿宋" w:asciiTheme="minorEastAsia" w:hAnsiTheme="minorEastAsia" w:eastAsiaTheme="minorEastAsia"/>
          <w:sz w:val="28"/>
          <w:szCs w:val="28"/>
        </w:rPr>
      </w:pPr>
      <w:r>
        <w:rPr>
          <w:rFonts w:hint="eastAsia" w:cs="仿宋" w:asciiTheme="minorEastAsia" w:hAnsiTheme="minorEastAsia" w:eastAsiaTheme="minorEastAsia"/>
          <w:b/>
          <w:bCs/>
          <w:sz w:val="28"/>
          <w:szCs w:val="28"/>
        </w:rPr>
        <w:br w:type="page"/>
      </w:r>
      <w:r>
        <w:rPr>
          <w:rFonts w:hint="eastAsia" w:cs="仿宋" w:asciiTheme="minorEastAsia" w:hAnsiTheme="minorEastAsia" w:eastAsiaTheme="minorEastAsia"/>
          <w:sz w:val="28"/>
          <w:szCs w:val="28"/>
        </w:rPr>
        <w:t>附件3</w:t>
      </w:r>
    </w:p>
    <w:p>
      <w:pPr>
        <w:spacing w:line="440" w:lineRule="exact"/>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法定 代 表 人 授 权 委 托 书</w:t>
      </w:r>
    </w:p>
    <w:p>
      <w:pPr>
        <w:spacing w:line="440" w:lineRule="exact"/>
        <w:rPr>
          <w:rFonts w:cs="仿宋" w:asciiTheme="minorEastAsia" w:hAnsiTheme="minorEastAsia" w:eastAsiaTheme="minorEastAsia"/>
          <w:sz w:val="28"/>
          <w:szCs w:val="28"/>
        </w:rPr>
      </w:pPr>
    </w:p>
    <w:p>
      <w:pPr>
        <w:adjustRightInd w:val="0"/>
        <w:snapToGrid w:val="0"/>
        <w:spacing w:line="312" w:lineRule="auto"/>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本人</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（姓名）系</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（授权单位名称）的法定代表人，现委托</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（姓名）（身份证号</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）为我方代理人，以我方名义全权处理与</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采购项目有关的一切事务，其法律后果由我方承担。</w:t>
      </w:r>
    </w:p>
    <w:p>
      <w:pPr>
        <w:adjustRightInd w:val="0"/>
        <w:snapToGrid w:val="0"/>
        <w:spacing w:line="312" w:lineRule="auto"/>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本授权书于</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年</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月</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日起生效。代理人无转委托权。</w:t>
      </w:r>
    </w:p>
    <w:p>
      <w:pPr>
        <w:adjustRightInd w:val="0"/>
        <w:snapToGrid w:val="0"/>
        <w:spacing w:line="312" w:lineRule="auto"/>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代理人(被授权人):</w:t>
      </w:r>
      <w:r>
        <w:rPr>
          <w:rFonts w:hint="eastAsia" w:cs="宋体" w:asciiTheme="minorEastAsia" w:hAnsiTheme="minorEastAsia" w:eastAsiaTheme="minorEastAsia"/>
          <w:sz w:val="28"/>
          <w:szCs w:val="28"/>
          <w:u w:val="single"/>
        </w:rPr>
        <w:t xml:space="preserve">                        </w:t>
      </w:r>
    </w:p>
    <w:p>
      <w:pPr>
        <w:adjustRightInd w:val="0"/>
        <w:snapToGrid w:val="0"/>
        <w:spacing w:line="312" w:lineRule="auto"/>
        <w:jc w:val="left"/>
        <w:rPr>
          <w:rFonts w:cs="宋体" w:asciiTheme="minorEastAsia" w:hAnsiTheme="minorEastAsia" w:eastAsiaTheme="minorEastAsia"/>
          <w:sz w:val="28"/>
          <w:szCs w:val="28"/>
          <w:u w:val="single"/>
        </w:rPr>
      </w:pPr>
      <w:r>
        <w:rPr>
          <w:rFonts w:hint="eastAsia" w:cs="宋体" w:asciiTheme="minorEastAsia" w:hAnsiTheme="minorEastAsia" w:eastAsiaTheme="minorEastAsia"/>
          <w:sz w:val="28"/>
          <w:szCs w:val="28"/>
        </w:rPr>
        <w:t>授权单位名称（盖章）：</w:t>
      </w:r>
      <w:r>
        <w:rPr>
          <w:rFonts w:hint="eastAsia" w:cs="宋体" w:asciiTheme="minorEastAsia" w:hAnsiTheme="minorEastAsia" w:eastAsiaTheme="minorEastAsia"/>
          <w:sz w:val="28"/>
          <w:szCs w:val="28"/>
          <w:u w:val="single"/>
        </w:rPr>
        <w:t xml:space="preserve">                   </w:t>
      </w:r>
    </w:p>
    <w:p>
      <w:pPr>
        <w:adjustRightInd w:val="0"/>
        <w:snapToGrid w:val="0"/>
        <w:spacing w:line="312" w:lineRule="auto"/>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授权单位法定代表人（签名或盖章）：</w:t>
      </w:r>
      <w:r>
        <w:rPr>
          <w:rFonts w:hint="eastAsia" w:cs="宋体" w:asciiTheme="minorEastAsia" w:hAnsiTheme="minorEastAsia" w:eastAsiaTheme="minorEastAsia"/>
          <w:sz w:val="28"/>
          <w:szCs w:val="28"/>
          <w:u w:val="single"/>
        </w:rPr>
        <w:t xml:space="preserve">       </w:t>
      </w:r>
    </w:p>
    <w:p>
      <w:pPr>
        <w:adjustRightInd w:val="0"/>
        <w:snapToGrid w:val="0"/>
        <w:spacing w:line="312" w:lineRule="auto"/>
        <w:jc w:val="left"/>
        <w:rPr>
          <w:rFonts w:cs="宋体" w:asciiTheme="minorEastAsia" w:hAnsiTheme="minorEastAsia" w:eastAsiaTheme="minorEastAsia"/>
          <w:sz w:val="28"/>
          <w:szCs w:val="28"/>
        </w:rPr>
      </w:pPr>
    </w:p>
    <w:p>
      <w:pPr>
        <w:wordWrap w:val="0"/>
        <w:adjustRightInd w:val="0"/>
        <w:snapToGrid w:val="0"/>
        <w:spacing w:line="312" w:lineRule="auto"/>
        <w:jc w:val="righ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年</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月</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日</w:t>
      </w:r>
    </w:p>
    <w:p>
      <w:pPr>
        <w:adjustRightInd w:val="0"/>
        <w:snapToGrid w:val="0"/>
        <w:spacing w:line="312" w:lineRule="auto"/>
        <w:jc w:val="left"/>
        <w:rPr>
          <w:rFonts w:cs="宋体" w:asciiTheme="minorEastAsia" w:hAnsiTheme="minorEastAsia" w:eastAsiaTheme="minorEastAsia"/>
          <w:b/>
          <w:sz w:val="28"/>
          <w:szCs w:val="28"/>
        </w:rPr>
      </w:pPr>
    </w:p>
    <w:p>
      <w:pPr>
        <w:adjustRightInd w:val="0"/>
        <w:snapToGrid w:val="0"/>
        <w:spacing w:line="312" w:lineRule="auto"/>
        <w:ind w:firstLine="560" w:firstLineChars="200"/>
        <w:jc w:val="left"/>
        <w:rPr>
          <w:rFonts w:cs="宋体" w:asciiTheme="minorEastAsia" w:hAnsiTheme="minorEastAsia" w:eastAsiaTheme="minorEastAsia"/>
          <w:b/>
          <w:sz w:val="28"/>
          <w:szCs w:val="28"/>
        </w:rPr>
      </w:pPr>
    </w:p>
    <w:p>
      <w:pPr>
        <w:adjustRightInd w:val="0"/>
        <w:snapToGrid w:val="0"/>
        <w:spacing w:line="312" w:lineRule="auto"/>
        <w:ind w:firstLine="560" w:firstLineChars="200"/>
        <w:jc w:val="left"/>
        <w:rPr>
          <w:rFonts w:cs="仿宋" w:asciiTheme="minorEastAsia" w:hAnsiTheme="minorEastAsia" w:eastAsiaTheme="minorEastAsia"/>
          <w:b/>
          <w:sz w:val="28"/>
          <w:szCs w:val="28"/>
        </w:rPr>
      </w:pPr>
      <w:r>
        <w:rPr>
          <w:rFonts w:hint="eastAsia" w:cs="宋体" w:asciiTheme="minorEastAsia" w:hAnsiTheme="minorEastAsia" w:eastAsiaTheme="minorEastAsia"/>
          <w:b/>
          <w:sz w:val="28"/>
          <w:szCs w:val="28"/>
        </w:rPr>
        <w:t>附：代理人(被授权人)身份证复印件盖公章</w:t>
      </w:r>
      <w:r>
        <w:rPr>
          <w:rFonts w:hint="eastAsia" w:cs="仿宋" w:asciiTheme="minorEastAsia" w:hAnsiTheme="minorEastAsia" w:eastAsiaTheme="minorEastAsia"/>
          <w:bCs/>
          <w:sz w:val="28"/>
          <w:szCs w:val="28"/>
        </w:rPr>
        <w:br w:type="page"/>
      </w:r>
    </w:p>
    <w:p>
      <w:pPr>
        <w:spacing w:line="312" w:lineRule="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附件4：</w:t>
      </w:r>
    </w:p>
    <w:p>
      <w:pPr>
        <w:spacing w:line="560" w:lineRule="exact"/>
        <w:jc w:val="center"/>
        <w:rPr>
          <w:rFonts w:cs="仿宋" w:asciiTheme="minorEastAsia" w:hAnsiTheme="minorEastAsia" w:eastAsiaTheme="minorEastAsia"/>
          <w:sz w:val="28"/>
          <w:szCs w:val="28"/>
        </w:rPr>
      </w:pPr>
      <w:r>
        <w:rPr>
          <w:rFonts w:hint="eastAsia" w:cs="仿宋" w:asciiTheme="minorEastAsia" w:hAnsiTheme="minorEastAsia" w:eastAsiaTheme="minorEastAsia"/>
          <w:b/>
          <w:sz w:val="28"/>
          <w:szCs w:val="28"/>
        </w:rPr>
        <w:t>质 保 承 诺 书</w:t>
      </w:r>
    </w:p>
    <w:p>
      <w:pPr>
        <w:spacing w:line="50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u w:val="single"/>
        </w:rPr>
        <w:t>启东市合作镇五星村股份经济合作社</w:t>
      </w:r>
      <w:r>
        <w:rPr>
          <w:rFonts w:hint="eastAsia" w:cs="仿宋" w:asciiTheme="minorEastAsia" w:hAnsiTheme="minorEastAsia" w:eastAsiaTheme="minorEastAsia"/>
          <w:sz w:val="28"/>
          <w:szCs w:val="28"/>
        </w:rPr>
        <w:t>：</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u w:val="single"/>
        </w:rPr>
        <w:t>（报价供应商全称）</w:t>
      </w:r>
      <w:r>
        <w:rPr>
          <w:rFonts w:hint="eastAsia" w:cs="仿宋" w:asciiTheme="minorEastAsia" w:hAnsiTheme="minorEastAsia" w:eastAsiaTheme="minorEastAsia"/>
          <w:sz w:val="28"/>
          <w:szCs w:val="28"/>
        </w:rPr>
        <w:t>授权</w:t>
      </w:r>
      <w:r>
        <w:rPr>
          <w:rFonts w:hint="eastAsia" w:cs="仿宋" w:asciiTheme="minorEastAsia" w:hAnsiTheme="minorEastAsia" w:eastAsiaTheme="minorEastAsia"/>
          <w:sz w:val="28"/>
          <w:szCs w:val="28"/>
          <w:u w:val="single"/>
        </w:rPr>
        <w:t>（姓  名）（职  务）</w:t>
      </w:r>
      <w:r>
        <w:rPr>
          <w:rFonts w:hint="eastAsia" w:cs="仿宋" w:asciiTheme="minorEastAsia" w:hAnsiTheme="minorEastAsia" w:eastAsiaTheme="minorEastAsia"/>
          <w:sz w:val="28"/>
          <w:szCs w:val="28"/>
        </w:rPr>
        <w:t>为全权代表，参加</w:t>
      </w:r>
      <w:r>
        <w:rPr>
          <w:rFonts w:hint="eastAsia" w:cs="仿宋" w:asciiTheme="minorEastAsia" w:hAnsiTheme="minorEastAsia" w:eastAsiaTheme="minorEastAsia"/>
          <w:sz w:val="28"/>
          <w:szCs w:val="28"/>
          <w:u w:val="single"/>
        </w:rPr>
        <w:t>启东市合作镇五星村宜居宜业和美乡村建设项目-----智能化采购项目</w:t>
      </w:r>
      <w:bookmarkStart w:id="57" w:name="_GoBack"/>
      <w:bookmarkEnd w:id="57"/>
      <w:r>
        <w:rPr>
          <w:rFonts w:hint="eastAsia" w:cs="仿宋" w:asciiTheme="minorEastAsia" w:hAnsiTheme="minorEastAsia" w:eastAsiaTheme="minorEastAsia"/>
          <w:sz w:val="28"/>
          <w:szCs w:val="28"/>
          <w:u w:val="single"/>
        </w:rPr>
        <w:t>采购</w:t>
      </w:r>
      <w:r>
        <w:rPr>
          <w:rFonts w:hint="eastAsia" w:cs="仿宋" w:asciiTheme="minorEastAsia" w:hAnsiTheme="minorEastAsia" w:eastAsiaTheme="minorEastAsia"/>
          <w:sz w:val="28"/>
          <w:szCs w:val="28"/>
        </w:rPr>
        <w:t>的有关活动，并宣布同意如下：</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1.我方保证提供的货物的完全符合本询价文件的要求，如有负偏离视为验收不合格，我方承担所有损失。</w:t>
      </w:r>
    </w:p>
    <w:p>
      <w:pPr>
        <w:pStyle w:val="34"/>
        <w:spacing w:line="580" w:lineRule="exact"/>
        <w:ind w:firstLine="560" w:firstLineChars="200"/>
        <w:rPr>
          <w:rFonts w:cs="仿宋" w:asciiTheme="minorEastAsia" w:hAnsiTheme="minorEastAsia" w:eastAsiaTheme="minorEastAsia"/>
          <w:color w:val="auto"/>
          <w:sz w:val="28"/>
          <w:szCs w:val="28"/>
        </w:rPr>
      </w:pPr>
      <w:r>
        <w:rPr>
          <w:rFonts w:hint="eastAsia" w:cs="仿宋" w:asciiTheme="minorEastAsia" w:hAnsiTheme="minorEastAsia" w:eastAsiaTheme="minorEastAsia"/>
          <w:color w:val="auto"/>
          <w:sz w:val="28"/>
          <w:szCs w:val="28"/>
        </w:rPr>
        <w:t>2.我方提供的所有货物免费质保期为</w:t>
      </w:r>
      <w:r>
        <w:rPr>
          <w:rFonts w:hint="eastAsia" w:cs="仿宋" w:asciiTheme="minorEastAsia" w:hAnsiTheme="minorEastAsia" w:eastAsiaTheme="minorEastAsia"/>
          <w:color w:val="auto"/>
          <w:sz w:val="28"/>
          <w:szCs w:val="28"/>
          <w:u w:val="single"/>
        </w:rPr>
        <w:t xml:space="preserve">　  </w:t>
      </w:r>
      <w:r>
        <w:rPr>
          <w:rFonts w:hint="eastAsia" w:cs="仿宋" w:asciiTheme="minorEastAsia" w:hAnsiTheme="minorEastAsia" w:eastAsiaTheme="minorEastAsia"/>
          <w:color w:val="auto"/>
          <w:sz w:val="28"/>
          <w:szCs w:val="28"/>
        </w:rPr>
        <w:t>年（配件+人工)</w:t>
      </w:r>
      <w:r>
        <w:rPr>
          <w:rFonts w:hint="eastAsia" w:asciiTheme="minorEastAsia" w:hAnsiTheme="minorEastAsia" w:eastAsiaTheme="minorEastAsia"/>
          <w:sz w:val="28"/>
          <w:szCs w:val="28"/>
        </w:rPr>
        <w:t xml:space="preserve"> </w:t>
      </w:r>
      <w:r>
        <w:rPr>
          <w:rFonts w:hint="eastAsia" w:cs="仿宋" w:asciiTheme="minorEastAsia" w:hAnsiTheme="minorEastAsia" w:eastAsiaTheme="minorEastAsia"/>
          <w:color w:val="auto"/>
          <w:sz w:val="28"/>
          <w:szCs w:val="28"/>
        </w:rPr>
        <w:t>并上门服务及全免费质保等售后服务。（若原厂质保期高于供应商承诺质保期的，按原厂质保期计算。自验收合格报告签字确认日起，开始进入质保期）</w:t>
      </w:r>
    </w:p>
    <w:p>
      <w:pPr>
        <w:spacing w:line="500" w:lineRule="exact"/>
        <w:ind w:firstLine="560" w:firstLineChars="200"/>
        <w:rPr>
          <w:rFonts w:cs="仿宋" w:asciiTheme="minorEastAsia" w:hAnsiTheme="minorEastAsia" w:eastAsiaTheme="minorEastAsia"/>
          <w:color w:val="000000"/>
          <w:kern w:val="0"/>
          <w:sz w:val="28"/>
          <w:szCs w:val="28"/>
        </w:rPr>
      </w:pPr>
      <w:r>
        <w:rPr>
          <w:rFonts w:hint="eastAsia" w:cs="仿宋" w:asciiTheme="minorEastAsia" w:hAnsiTheme="minorEastAsia" w:eastAsiaTheme="minorEastAsia"/>
          <w:color w:val="000000"/>
          <w:kern w:val="0"/>
          <w:sz w:val="28"/>
          <w:szCs w:val="28"/>
        </w:rPr>
        <w:t>3.在质保期内，成交供应商应免费维修所有设备。在免费质保期内，接到用户单位电话通知后，将在4小时之内上门服务，并在24小时内负责修复。如需更换货物或送修，必须在48小时内提供备用货物，并在3个工作日内负责维修完毕。</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4.与本项目有关的一切往来通讯请寄：</w:t>
      </w:r>
    </w:p>
    <w:p>
      <w:pPr>
        <w:pStyle w:val="9"/>
        <w:rPr>
          <w:rFonts w:cs="仿宋" w:asciiTheme="minorEastAsia" w:hAnsiTheme="minorEastAsia" w:eastAsiaTheme="minorEastAsia"/>
          <w:sz w:val="28"/>
          <w:szCs w:val="28"/>
        </w:rPr>
      </w:pP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地址：</w:t>
      </w:r>
      <w:r>
        <w:rPr>
          <w:rFonts w:hint="eastAsia" w:cs="仿宋" w:asciiTheme="minorEastAsia" w:hAnsiTheme="minorEastAsia" w:eastAsiaTheme="minorEastAsia"/>
          <w:sz w:val="28"/>
          <w:szCs w:val="28"/>
          <w:u w:val="single"/>
        </w:rPr>
        <w:t>　　　　　　　　　</w:t>
      </w:r>
      <w:r>
        <w:rPr>
          <w:rFonts w:hint="eastAsia" w:cs="仿宋" w:asciiTheme="minorEastAsia" w:hAnsiTheme="minorEastAsia" w:eastAsiaTheme="minorEastAsia"/>
          <w:sz w:val="28"/>
          <w:szCs w:val="28"/>
        </w:rPr>
        <w:t>　邮编：</w:t>
      </w:r>
      <w:r>
        <w:rPr>
          <w:rFonts w:hint="eastAsia" w:cs="仿宋" w:asciiTheme="minorEastAsia" w:hAnsiTheme="minorEastAsia" w:eastAsiaTheme="minorEastAsia"/>
          <w:sz w:val="28"/>
          <w:szCs w:val="28"/>
          <w:u w:val="single"/>
        </w:rPr>
        <w:t>　　　　　　　　　</w:t>
      </w: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电话：</w:t>
      </w:r>
      <w:r>
        <w:rPr>
          <w:rFonts w:hint="eastAsia" w:cs="仿宋" w:asciiTheme="minorEastAsia" w:hAnsiTheme="minorEastAsia" w:eastAsiaTheme="minorEastAsia"/>
          <w:sz w:val="28"/>
          <w:szCs w:val="28"/>
          <w:u w:val="single"/>
        </w:rPr>
        <w:t>　　　　　　　　　</w:t>
      </w:r>
      <w:r>
        <w:rPr>
          <w:rFonts w:hint="eastAsia" w:cs="仿宋" w:asciiTheme="minorEastAsia" w:hAnsiTheme="minorEastAsia" w:eastAsiaTheme="minorEastAsia"/>
          <w:sz w:val="28"/>
          <w:szCs w:val="28"/>
        </w:rPr>
        <w:t>　传真：</w:t>
      </w:r>
      <w:r>
        <w:rPr>
          <w:rFonts w:hint="eastAsia" w:cs="仿宋" w:asciiTheme="minorEastAsia" w:hAnsiTheme="minorEastAsia" w:eastAsiaTheme="minorEastAsia"/>
          <w:sz w:val="28"/>
          <w:szCs w:val="28"/>
          <w:u w:val="single"/>
        </w:rPr>
        <w:t>　　　　　　　　　</w:t>
      </w: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报价单位代表：</w:t>
      </w:r>
      <w:r>
        <w:rPr>
          <w:rFonts w:hint="eastAsia" w:cs="仿宋" w:asciiTheme="minorEastAsia" w:hAnsiTheme="minorEastAsia" w:eastAsiaTheme="minorEastAsia"/>
          <w:sz w:val="28"/>
          <w:szCs w:val="28"/>
          <w:u w:val="single"/>
        </w:rPr>
        <w:t>　　　　　　</w:t>
      </w:r>
      <w:r>
        <w:rPr>
          <w:rFonts w:hint="eastAsia" w:cs="仿宋" w:asciiTheme="minorEastAsia" w:hAnsiTheme="minorEastAsia" w:eastAsiaTheme="minorEastAsia"/>
          <w:sz w:val="28"/>
          <w:szCs w:val="28"/>
        </w:rPr>
        <w:t>职务：</w:t>
      </w:r>
      <w:r>
        <w:rPr>
          <w:rFonts w:hint="eastAsia" w:cs="仿宋" w:asciiTheme="minorEastAsia" w:hAnsiTheme="minorEastAsia" w:eastAsiaTheme="minorEastAsia"/>
          <w:sz w:val="28"/>
          <w:szCs w:val="28"/>
          <w:u w:val="single"/>
        </w:rPr>
        <w:t>　　　　　　　　　</w:t>
      </w: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供应商代表移动电话：</w:t>
      </w:r>
      <w:r>
        <w:rPr>
          <w:rFonts w:hint="eastAsia" w:cs="仿宋" w:asciiTheme="minorEastAsia" w:hAnsiTheme="minorEastAsia" w:eastAsiaTheme="minorEastAsia"/>
          <w:sz w:val="28"/>
          <w:szCs w:val="28"/>
          <w:u w:val="single"/>
        </w:rPr>
        <w:t>　　　　　　　　　</w:t>
      </w:r>
    </w:p>
    <w:p>
      <w:pPr>
        <w:spacing w:line="600" w:lineRule="exact"/>
        <w:ind w:firstLine="560" w:firstLineChars="200"/>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rPr>
        <w:t>供应商（盖公章）：</w:t>
      </w:r>
      <w:r>
        <w:rPr>
          <w:rFonts w:hint="eastAsia" w:cs="仿宋" w:asciiTheme="minorEastAsia" w:hAnsiTheme="minorEastAsia" w:eastAsiaTheme="minorEastAsia"/>
          <w:sz w:val="28"/>
          <w:szCs w:val="28"/>
          <w:u w:val="single"/>
        </w:rPr>
        <w:t>　　　　　　　　　</w:t>
      </w:r>
    </w:p>
    <w:p>
      <w:pPr>
        <w:snapToGrid w:val="0"/>
        <w:spacing w:line="300" w:lineRule="auto"/>
        <w:outlineLvl w:val="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年    月    日</w:t>
      </w:r>
    </w:p>
    <w:p>
      <w:pPr>
        <w:rPr>
          <w:rFonts w:cs="仿宋" w:asciiTheme="minorEastAsia" w:hAnsiTheme="minorEastAsia" w:eastAsiaTheme="minorEastAsia"/>
          <w:sz w:val="28"/>
          <w:szCs w:val="28"/>
        </w:rPr>
      </w:pPr>
    </w:p>
    <w:p>
      <w:pPr>
        <w:pStyle w:val="17"/>
        <w:rPr>
          <w:rFonts w:hint="default" w:asciiTheme="minorEastAsia" w:hAnsiTheme="minorEastAsia" w:eastAsiaTheme="minorEastAsia"/>
          <w:sz w:val="28"/>
          <w:szCs w:val="28"/>
        </w:rPr>
        <w:sectPr>
          <w:headerReference r:id="rId3" w:type="default"/>
          <w:footerReference r:id="rId4" w:type="default"/>
          <w:footerReference r:id="rId5" w:type="even"/>
          <w:pgSz w:w="11915" w:h="16840"/>
          <w:pgMar w:top="1440" w:right="1758" w:bottom="1440" w:left="1758" w:header="851" w:footer="850" w:gutter="0"/>
          <w:cols w:space="720" w:num="1"/>
          <w:docGrid w:type="linesAndChars" w:linePitch="312" w:charSpace="0"/>
        </w:sectPr>
      </w:pPr>
    </w:p>
    <w:p>
      <w:pPr>
        <w:pStyle w:val="17"/>
        <w:rPr>
          <w:rFonts w:hint="default"/>
        </w:rPr>
      </w:pPr>
      <w:r>
        <w:t>附件5</w:t>
      </w:r>
    </w:p>
    <w:p>
      <w:pPr>
        <w:pStyle w:val="17"/>
        <w:spacing w:line="360" w:lineRule="exact"/>
        <w:jc w:val="center"/>
        <w:rPr>
          <w:rFonts w:hint="default" w:ascii="宋体" w:hAnsi="宋体"/>
          <w:b/>
          <w:bCs/>
          <w:szCs w:val="24"/>
        </w:rPr>
      </w:pPr>
      <w:r>
        <w:rPr>
          <w:rFonts w:ascii="宋体" w:hAnsi="宋体"/>
          <w:b/>
          <w:bCs/>
          <w:szCs w:val="24"/>
        </w:rPr>
        <w:t>启东市合作镇五星村宜居宜业和美乡村建设项目-----智能化采购项目</w:t>
      </w:r>
    </w:p>
    <w:p>
      <w:pPr>
        <w:pStyle w:val="17"/>
        <w:spacing w:line="360" w:lineRule="exact"/>
        <w:jc w:val="center"/>
        <w:rPr>
          <w:rFonts w:hint="default" w:ascii="宋体" w:hAnsi="宋体"/>
          <w:b/>
          <w:bCs/>
          <w:sz w:val="28"/>
          <w:szCs w:val="28"/>
        </w:rPr>
      </w:pPr>
      <w:r>
        <w:rPr>
          <w:rFonts w:ascii="宋体" w:hAnsi="宋体"/>
          <w:b/>
          <w:bCs/>
          <w:sz w:val="28"/>
          <w:szCs w:val="28"/>
        </w:rPr>
        <w:t>报价单</w:t>
      </w:r>
    </w:p>
    <w:p>
      <w:pPr>
        <w:pStyle w:val="9"/>
        <w:rPr>
          <w:rFonts w:cs="仿宋_GB2312"/>
          <w:bCs/>
          <w:sz w:val="28"/>
          <w:szCs w:val="28"/>
        </w:rPr>
      </w:pPr>
      <w:r>
        <w:rPr>
          <w:rFonts w:hint="eastAsia" w:cs="仿宋_GB2312"/>
          <w:bCs/>
          <w:sz w:val="28"/>
          <w:szCs w:val="28"/>
        </w:rPr>
        <w:t xml:space="preserve">    </w:t>
      </w:r>
    </w:p>
    <w:tbl>
      <w:tblPr>
        <w:tblStyle w:val="20"/>
        <w:tblW w:w="9263" w:type="dxa"/>
        <w:tblInd w:w="93" w:type="dxa"/>
        <w:tblLayout w:type="autofit"/>
        <w:tblCellMar>
          <w:top w:w="0" w:type="dxa"/>
          <w:left w:w="108" w:type="dxa"/>
          <w:bottom w:w="0" w:type="dxa"/>
          <w:right w:w="108" w:type="dxa"/>
        </w:tblCellMar>
      </w:tblPr>
      <w:tblGrid>
        <w:gridCol w:w="458"/>
        <w:gridCol w:w="205"/>
        <w:gridCol w:w="586"/>
        <w:gridCol w:w="106"/>
        <w:gridCol w:w="3312"/>
        <w:gridCol w:w="990"/>
        <w:gridCol w:w="705"/>
        <w:gridCol w:w="1024"/>
        <w:gridCol w:w="941"/>
        <w:gridCol w:w="936"/>
      </w:tblGrid>
      <w:tr>
        <w:tblPrEx>
          <w:tblCellMar>
            <w:top w:w="0" w:type="dxa"/>
            <w:left w:w="108" w:type="dxa"/>
            <w:bottom w:w="0" w:type="dxa"/>
            <w:right w:w="108" w:type="dxa"/>
          </w:tblCellMar>
        </w:tblPrEx>
        <w:trPr>
          <w:trHeight w:val="540" w:hRule="atLeast"/>
        </w:trPr>
        <w:tc>
          <w:tcPr>
            <w:tcW w:w="9263" w:type="dxa"/>
            <w:gridSpan w:val="10"/>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sz w:val="28"/>
                <w:szCs w:val="28"/>
              </w:rPr>
              <w:t>一、LED显示屏</w:t>
            </w:r>
          </w:p>
        </w:tc>
      </w:tr>
      <w:tr>
        <w:tblPrEx>
          <w:tblCellMar>
            <w:top w:w="0" w:type="dxa"/>
            <w:left w:w="108" w:type="dxa"/>
            <w:bottom w:w="0" w:type="dxa"/>
            <w:right w:w="108" w:type="dxa"/>
          </w:tblCellMar>
        </w:tblPrEx>
        <w:trPr>
          <w:trHeight w:val="829" w:hRule="atLeast"/>
        </w:trPr>
        <w:tc>
          <w:tcPr>
            <w:tcW w:w="45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序号</w:t>
            </w:r>
          </w:p>
        </w:tc>
        <w:tc>
          <w:tcPr>
            <w:tcW w:w="791"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设备名称</w:t>
            </w:r>
          </w:p>
        </w:tc>
        <w:tc>
          <w:tcPr>
            <w:tcW w:w="3418"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技术参数</w:t>
            </w:r>
          </w:p>
        </w:tc>
        <w:tc>
          <w:tcPr>
            <w:tcW w:w="9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w:t>
            </w:r>
          </w:p>
        </w:tc>
        <w:tc>
          <w:tcPr>
            <w:tcW w:w="7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单位</w:t>
            </w:r>
          </w:p>
        </w:tc>
        <w:tc>
          <w:tcPr>
            <w:tcW w:w="102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推荐品牌</w:t>
            </w:r>
          </w:p>
        </w:tc>
        <w:tc>
          <w:tcPr>
            <w:tcW w:w="94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单价（元）</w:t>
            </w:r>
          </w:p>
        </w:tc>
        <w:tc>
          <w:tcPr>
            <w:tcW w:w="9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总价（元）</w:t>
            </w:r>
          </w:p>
        </w:tc>
      </w:tr>
      <w:tr>
        <w:tblPrEx>
          <w:tblCellMar>
            <w:top w:w="0" w:type="dxa"/>
            <w:left w:w="108" w:type="dxa"/>
            <w:bottom w:w="0" w:type="dxa"/>
            <w:right w:w="108" w:type="dxa"/>
          </w:tblCellMar>
        </w:tblPrEx>
        <w:trPr>
          <w:trHeight w:val="170" w:hRule="atLeast"/>
        </w:trPr>
        <w:tc>
          <w:tcPr>
            <w:tcW w:w="458"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91" w:type="dxa"/>
            <w:gridSpan w:val="2"/>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室内LED 显示单元</w:t>
            </w:r>
          </w:p>
        </w:tc>
        <w:tc>
          <w:tcPr>
            <w:tcW w:w="3418" w:type="dxa"/>
            <w:gridSpan w:val="2"/>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1.LED显示屏灯珠采用表贴三合一铜线封装；LED封装形式：SMD1515黑灯；</w:t>
            </w:r>
          </w:p>
        </w:tc>
        <w:tc>
          <w:tcPr>
            <w:tcW w:w="990"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13.824</w:t>
            </w:r>
          </w:p>
        </w:tc>
        <w:tc>
          <w:tcPr>
            <w:tcW w:w="705"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平方</w:t>
            </w:r>
          </w:p>
        </w:tc>
        <w:tc>
          <w:tcPr>
            <w:tcW w:w="1024" w:type="dxa"/>
            <w:vMerge w:val="restart"/>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itc、PUSG、金业诚兴</w:t>
            </w:r>
          </w:p>
        </w:tc>
        <w:tc>
          <w:tcPr>
            <w:tcW w:w="941" w:type="dxa"/>
            <w:vMerge w:val="restart"/>
            <w:tcBorders>
              <w:top w:val="nil"/>
              <w:left w:val="single" w:color="000000" w:sz="8" w:space="0"/>
              <w:right w:val="single" w:color="000000" w:sz="8" w:space="0"/>
            </w:tcBorders>
          </w:tcPr>
          <w:p>
            <w:pPr>
              <w:widowControl/>
              <w:textAlignment w:val="center"/>
              <w:rPr>
                <w:rFonts w:ascii="宋体" w:hAnsi="宋体" w:cs="宋体"/>
                <w:color w:val="000000"/>
                <w:szCs w:val="21"/>
              </w:rPr>
            </w:pPr>
          </w:p>
        </w:tc>
        <w:tc>
          <w:tcPr>
            <w:tcW w:w="936" w:type="dxa"/>
            <w:vMerge w:val="restart"/>
            <w:tcBorders>
              <w:top w:val="nil"/>
              <w:left w:val="single" w:color="000000" w:sz="8" w:space="0"/>
              <w:right w:val="single" w:color="000000" w:sz="8" w:space="0"/>
            </w:tcBorders>
          </w:tcPr>
          <w:p>
            <w:pPr>
              <w:widowControl/>
              <w:textAlignment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418" w:type="dxa"/>
            <w:gridSpan w:val="2"/>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2.LED显示屏采用≤2.0mm点间距；</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left w:val="single" w:color="000000" w:sz="8" w:space="0"/>
              <w:right w:val="single" w:color="000000" w:sz="8"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418" w:type="dxa"/>
            <w:gridSpan w:val="2"/>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3.LED显示屏模组尺寸320mm*160mm；</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left w:val="single" w:color="000000" w:sz="8" w:space="0"/>
              <w:right w:val="single" w:color="000000" w:sz="8"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418" w:type="dxa"/>
            <w:gridSpan w:val="2"/>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4.LED显示屏采用前/后维护方式，可正面拆卸模组、接收卡、电源等低压器件，具备热插拔能力；</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left w:val="single" w:color="000000" w:sz="8" w:space="0"/>
              <w:right w:val="single" w:color="000000" w:sz="8"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418" w:type="dxa"/>
            <w:gridSpan w:val="2"/>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5.LED显示屏符合等同或优于IP5X防护等级VN.11167N；</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left w:val="single" w:color="000000" w:sz="8" w:space="0"/>
              <w:right w:val="single" w:color="000000" w:sz="8"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418" w:type="dxa"/>
            <w:gridSpan w:val="2"/>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6.LED显示屏亮度可达到200-800CD/m²，可通过配套软件0-100%调节，设置亮度定时调节；</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left w:val="single" w:color="000000" w:sz="8" w:space="0"/>
              <w:right w:val="single" w:color="000000" w:sz="8"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418" w:type="dxa"/>
            <w:gridSpan w:val="2"/>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7.LED显示屏对比度≥10000：1；LED显示屏杂点率≤1/100000且无连续失控点；LED显示屏亮度均匀性≥99%；LED显示色度均匀性±0.001Cx,Cy之内；LED显示屏像素中心距相对偏差≤1%；LED显示屏观看水平/垂直视角≥175°；LED显示屏平均故障恢复时间（MTTR）≤2分钟；</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left w:val="single" w:color="000000" w:sz="8" w:space="0"/>
              <w:right w:val="single" w:color="000000" w:sz="8"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418" w:type="dxa"/>
            <w:gridSpan w:val="2"/>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8.LED显示屏刷新频率≥4200Hz，可通过配套控制软件调节刷新率设置选项；</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left w:val="single" w:color="000000" w:sz="8" w:space="0"/>
              <w:right w:val="single" w:color="000000" w:sz="8"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418" w:type="dxa"/>
            <w:gridSpan w:val="2"/>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9.LED显示屏色温100K-20000K连续可调，可设冷色、暖色、标准等多档白场调节,色温为8500K时，100%、75%、50%、25%四档电平白场调节色温误差≤100K；</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left w:val="single" w:color="000000" w:sz="8" w:space="0"/>
              <w:right w:val="single" w:color="000000" w:sz="8"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418" w:type="dxa"/>
            <w:gridSpan w:val="2"/>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10.LED显示屏峰值功耗为≤500W/㎡；LED显示屏平均功耗为≤125W/㎡；</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left w:val="single" w:color="000000" w:sz="8" w:space="0"/>
              <w:right w:val="single" w:color="000000" w:sz="8"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418" w:type="dxa"/>
            <w:gridSpan w:val="2"/>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11.LED显示屏为防止金属离子迁移、线路短路现象，PCB采用FR-4四层板同等级或更高材料，PCB导线更宽、导线间距和过孔间距更大，能更好的杜绝模块黑屏、显示异常、灯珠缺色、毛毛虫等现象，表面沉金处理，板厚≥1.6mm，铜厚≥1盎司，TG≥150℃，PCB板表面具备防潮/防尘/防静电/抗氧化，防霉等级≤1级；（需提供得到CNAS认可的检测机构出具的检测报告作为该技术参数证明材料）</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left w:val="single" w:color="000000" w:sz="8" w:space="0"/>
              <w:right w:val="single" w:color="000000" w:sz="8"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418" w:type="dxa"/>
            <w:gridSpan w:val="2"/>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12.LED显示屏依据GB/T 5169.16-2017标准，测试温度在650℃，时间30秒，样品燃烧火焰或熔融物应该在灼热丝测试结束后30秒内熄灭，并且样品燃烧的火焰或熔融物滴落时不能使下方的测试纸燃烧，（PCB板、线材、电源、连接件）阻燃等级达到V-0等级；</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left w:val="single" w:color="000000" w:sz="8" w:space="0"/>
              <w:right w:val="single" w:color="000000" w:sz="8"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418" w:type="dxa"/>
            <w:gridSpan w:val="2"/>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13.LED显示屏在温度25℃、湿度40%RH、大气压力100.2kpa条件工作状态下要求距离产品四周的1m处最大噪声声压&lt;2db；</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left w:val="single" w:color="000000" w:sz="8" w:space="0"/>
              <w:right w:val="single" w:color="000000" w:sz="8"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418" w:type="dxa"/>
            <w:gridSpan w:val="2"/>
            <w:tcBorders>
              <w:top w:val="nil"/>
              <w:left w:val="single" w:color="000000" w:sz="8" w:space="0"/>
              <w:bottom w:val="single" w:color="000000" w:sz="8" w:space="0"/>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14.LED显示屏符合EMCCLASSB抗干扰能力，要求运行稳定不受外界各射频电磁场的干扰；</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c>
          <w:tcPr>
            <w:tcW w:w="941" w:type="dxa"/>
            <w:vMerge w:val="continue"/>
            <w:tcBorders>
              <w:left w:val="single" w:color="000000" w:sz="8" w:space="0"/>
              <w:bottom w:val="single" w:color="000000" w:sz="8" w:space="0"/>
              <w:right w:val="single" w:color="000000" w:sz="8" w:space="0"/>
            </w:tcBorders>
          </w:tcPr>
          <w:p>
            <w:pPr>
              <w:rPr>
                <w:rFonts w:ascii="宋体" w:hAnsi="宋体" w:cs="宋体"/>
                <w:color w:val="000000"/>
                <w:szCs w:val="21"/>
              </w:rPr>
            </w:pPr>
          </w:p>
        </w:tc>
        <w:tc>
          <w:tcPr>
            <w:tcW w:w="936" w:type="dxa"/>
            <w:vMerge w:val="continue"/>
            <w:tcBorders>
              <w:left w:val="single" w:color="000000" w:sz="8" w:space="0"/>
              <w:bottom w:val="single" w:color="000000" w:sz="8" w:space="0"/>
              <w:right w:val="single" w:color="000000" w:sz="8"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791" w:type="dxa"/>
            <w:gridSpan w:val="2"/>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发送盒</w:t>
            </w:r>
          </w:p>
        </w:tc>
        <w:tc>
          <w:tcPr>
            <w:tcW w:w="3418" w:type="dxa"/>
            <w:gridSpan w:val="2"/>
            <w:tcBorders>
              <w:top w:val="nil"/>
              <w:left w:val="single" w:color="000000" w:sz="8" w:space="0"/>
              <w:right w:val="single" w:color="000000" w:sz="8" w:space="0"/>
            </w:tcBorders>
            <w:vAlign w:val="center"/>
          </w:tcPr>
          <w:p>
            <w:pPr>
              <w:widowControl/>
              <w:spacing w:line="400" w:lineRule="exact"/>
              <w:textAlignment w:val="center"/>
              <w:rPr>
                <w:rFonts w:ascii="宋体" w:hAnsi="宋体" w:cs="宋体"/>
                <w:color w:val="000000"/>
                <w:szCs w:val="21"/>
              </w:rPr>
            </w:pPr>
            <w:r>
              <w:rPr>
                <w:rFonts w:hint="eastAsia" w:ascii="宋体" w:hAnsi="宋体" w:cs="宋体"/>
                <w:color w:val="000000"/>
                <w:szCs w:val="21"/>
              </w:rPr>
              <w:t>1.</w:t>
            </w:r>
            <w:r>
              <w:t>具备带载面积≥520万像素，宽度≥8192点，高度≥4096点；</w:t>
            </w:r>
          </w:p>
          <w:p>
            <w:pPr>
              <w:wordWrap w:val="0"/>
              <w:spacing w:line="400" w:lineRule="exact"/>
              <w:textAlignment w:val="center"/>
              <w:rPr>
                <w:rFonts w:ascii="宋体" w:hAnsi="宋体" w:cs="宋体"/>
                <w:color w:val="000000"/>
                <w:szCs w:val="21"/>
              </w:rPr>
            </w:pPr>
            <w:r>
              <w:rPr>
                <w:rFonts w:hint="eastAsia" w:ascii="宋体" w:hAnsi="宋体" w:cs="宋体"/>
                <w:color w:val="000000"/>
                <w:szCs w:val="21"/>
              </w:rPr>
              <w:t>2.</w:t>
            </w:r>
            <w:r>
              <w:t>具备输入分辨率≥1920×1200@60Hz，支持控制范围内自定义分辨率设置；</w:t>
            </w:r>
          </w:p>
        </w:tc>
        <w:tc>
          <w:tcPr>
            <w:tcW w:w="990"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05"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1024" w:type="dxa"/>
            <w:vMerge w:val="restart"/>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 xml:space="preserve"> </w:t>
            </w:r>
            <w:r>
              <w:t>itc、PUSG、金业诚兴</w:t>
            </w:r>
          </w:p>
        </w:tc>
        <w:tc>
          <w:tcPr>
            <w:tcW w:w="941" w:type="dxa"/>
            <w:vMerge w:val="restart"/>
            <w:tcBorders>
              <w:top w:val="nil"/>
              <w:left w:val="single" w:color="000000" w:sz="8" w:space="0"/>
              <w:right w:val="single" w:color="000000" w:sz="8" w:space="0"/>
            </w:tcBorders>
          </w:tcPr>
          <w:p>
            <w:pPr>
              <w:widowControl/>
              <w:textAlignment w:val="center"/>
              <w:rPr>
                <w:rFonts w:ascii="宋体" w:hAnsi="宋体" w:cs="宋体"/>
                <w:color w:val="000000"/>
                <w:szCs w:val="21"/>
              </w:rPr>
            </w:pPr>
          </w:p>
        </w:tc>
        <w:tc>
          <w:tcPr>
            <w:tcW w:w="936" w:type="dxa"/>
            <w:vMerge w:val="restart"/>
            <w:tcBorders>
              <w:top w:val="nil"/>
              <w:left w:val="single" w:color="000000" w:sz="8" w:space="0"/>
              <w:right w:val="single" w:color="000000" w:sz="8" w:space="0"/>
            </w:tcBorders>
          </w:tcPr>
          <w:p>
            <w:pPr>
              <w:widowControl/>
              <w:textAlignment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418" w:type="dxa"/>
            <w:gridSpan w:val="2"/>
            <w:tcBorders>
              <w:top w:val="nil"/>
              <w:left w:val="single" w:color="000000" w:sz="8" w:space="0"/>
              <w:right w:val="single" w:color="000000" w:sz="8" w:space="0"/>
            </w:tcBorders>
            <w:vAlign w:val="center"/>
          </w:tcPr>
          <w:p>
            <w:pPr>
              <w:widowControl/>
              <w:spacing w:line="400" w:lineRule="exact"/>
              <w:textAlignment w:val="center"/>
              <w:rPr>
                <w:rFonts w:ascii="宋体" w:hAnsi="宋体" w:cs="宋体"/>
                <w:color w:val="000000"/>
                <w:szCs w:val="21"/>
              </w:rPr>
            </w:pPr>
            <w:r>
              <w:rPr>
                <w:rFonts w:hint="eastAsia" w:ascii="宋体" w:hAnsi="宋体" w:cs="宋体"/>
                <w:color w:val="000000"/>
                <w:szCs w:val="21"/>
              </w:rPr>
              <w:t>3.</w:t>
            </w:r>
            <w:r>
              <w:t>具备对视频信号任意切换，裁剪，拼接，缩放；</w:t>
            </w:r>
          </w:p>
          <w:p>
            <w:pPr>
              <w:widowControl/>
              <w:spacing w:line="400" w:lineRule="exact"/>
              <w:textAlignment w:val="center"/>
              <w:rPr>
                <w:rFonts w:ascii="宋体" w:hAnsi="宋体" w:cs="宋体"/>
                <w:color w:val="000000"/>
                <w:szCs w:val="21"/>
              </w:rPr>
            </w:pPr>
            <w:r>
              <w:rPr>
                <w:rFonts w:hint="eastAsia" w:ascii="宋体" w:hAnsi="宋体" w:cs="宋体"/>
                <w:color w:val="000000"/>
                <w:szCs w:val="21"/>
              </w:rPr>
              <w:t>4.</w:t>
            </w:r>
            <w:r>
              <w:t>具备≥3画面显示，位置、大小可自由调节；</w:t>
            </w:r>
          </w:p>
          <w:p>
            <w:pPr>
              <w:spacing w:line="400" w:lineRule="exact"/>
              <w:textAlignment w:val="center"/>
              <w:rPr>
                <w:rFonts w:ascii="宋体" w:hAnsi="宋体" w:cs="宋体"/>
                <w:color w:val="000000"/>
                <w:szCs w:val="21"/>
              </w:rPr>
            </w:pPr>
            <w:r>
              <w:rPr>
                <w:rFonts w:hint="eastAsia" w:ascii="宋体" w:hAnsi="宋体" w:cs="宋体"/>
                <w:color w:val="000000"/>
                <w:szCs w:val="21"/>
              </w:rPr>
              <w:t>5.</w:t>
            </w:r>
            <w:r>
              <w:t>具备独立音频输入和音频输出及HDMI音频解析输出；</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left w:val="single" w:color="000000" w:sz="8" w:space="0"/>
              <w:right w:val="single" w:color="000000" w:sz="8"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418" w:type="dxa"/>
            <w:gridSpan w:val="2"/>
            <w:tcBorders>
              <w:top w:val="nil"/>
              <w:left w:val="single" w:color="000000" w:sz="8" w:space="0"/>
              <w:right w:val="single" w:color="000000" w:sz="8" w:space="0"/>
            </w:tcBorders>
            <w:vAlign w:val="center"/>
          </w:tcPr>
          <w:p>
            <w:pPr>
              <w:widowControl/>
              <w:wordWrap w:val="0"/>
              <w:spacing w:line="400" w:lineRule="exact"/>
              <w:textAlignment w:val="center"/>
              <w:rPr>
                <w:rFonts w:ascii="宋体" w:hAnsi="宋体" w:cs="宋体"/>
                <w:color w:val="000000"/>
                <w:szCs w:val="21"/>
              </w:rPr>
            </w:pPr>
            <w:r>
              <w:rPr>
                <w:rFonts w:hint="eastAsia" w:ascii="宋体" w:hAnsi="宋体" w:cs="宋体"/>
                <w:color w:val="000000"/>
                <w:szCs w:val="21"/>
              </w:rPr>
              <w:t>6.</w:t>
            </w:r>
            <w:r>
              <w:t>具备RS232串口协议控制；</w:t>
            </w:r>
          </w:p>
          <w:p>
            <w:pPr>
              <w:widowControl/>
              <w:wordWrap w:val="0"/>
              <w:spacing w:line="400" w:lineRule="exact"/>
              <w:textAlignment w:val="center"/>
              <w:rPr>
                <w:rFonts w:ascii="宋体" w:hAnsi="宋体" w:cs="宋体"/>
                <w:color w:val="000000"/>
                <w:szCs w:val="21"/>
              </w:rPr>
            </w:pPr>
            <w:r>
              <w:rPr>
                <w:rFonts w:hint="eastAsia" w:ascii="宋体" w:hAnsi="宋体" w:cs="宋体"/>
                <w:color w:val="000000"/>
                <w:szCs w:val="21"/>
              </w:rPr>
              <w:t>7.</w:t>
            </w:r>
            <w:r>
              <w:t>具备亮度和色温调节；</w:t>
            </w:r>
          </w:p>
          <w:p>
            <w:pPr>
              <w:widowControl/>
              <w:wordWrap w:val="0"/>
              <w:spacing w:line="400" w:lineRule="exact"/>
              <w:textAlignment w:val="center"/>
              <w:rPr>
                <w:rFonts w:ascii="宋体" w:hAnsi="宋体" w:cs="宋体"/>
                <w:color w:val="000000"/>
                <w:szCs w:val="21"/>
              </w:rPr>
            </w:pPr>
            <w:r>
              <w:rPr>
                <w:rFonts w:hint="eastAsia" w:ascii="宋体" w:hAnsi="宋体" w:cs="宋体"/>
                <w:color w:val="000000"/>
                <w:szCs w:val="21"/>
              </w:rPr>
              <w:t>8.</w:t>
            </w:r>
            <w:r>
              <w:t>具备低亮高灰；</w:t>
            </w:r>
          </w:p>
          <w:p>
            <w:pPr>
              <w:widowControl/>
              <w:wordWrap w:val="0"/>
              <w:spacing w:line="400" w:lineRule="exact"/>
              <w:textAlignment w:val="center"/>
              <w:rPr>
                <w:rFonts w:ascii="宋体" w:hAnsi="宋体" w:cs="宋体"/>
                <w:color w:val="000000"/>
                <w:szCs w:val="21"/>
              </w:rPr>
            </w:pPr>
            <w:r>
              <w:rPr>
                <w:rFonts w:hint="eastAsia" w:ascii="宋体" w:hAnsi="宋体" w:cs="宋体"/>
                <w:color w:val="000000"/>
                <w:szCs w:val="21"/>
              </w:rPr>
              <w:t>9.</w:t>
            </w:r>
            <w:r>
              <w:t>具备≥1路HDMI 1.4输入接口VN.11167N，≥2路DVI输入接口，≥1路3G-SDI输入接口，≥1路音频输入接口；</w:t>
            </w:r>
          </w:p>
          <w:p>
            <w:pPr>
              <w:wordWrap w:val="0"/>
              <w:spacing w:line="400" w:lineRule="exact"/>
              <w:textAlignment w:val="center"/>
              <w:rPr>
                <w:rFonts w:ascii="宋体" w:hAnsi="宋体" w:cs="宋体"/>
                <w:color w:val="000000"/>
                <w:szCs w:val="21"/>
              </w:rPr>
            </w:pPr>
            <w:r>
              <w:rPr>
                <w:rFonts w:hint="eastAsia" w:ascii="宋体" w:hAnsi="宋体" w:cs="宋体"/>
                <w:color w:val="000000"/>
                <w:szCs w:val="21"/>
              </w:rPr>
              <w:t>10.</w:t>
            </w:r>
            <w:r>
              <w:t>具备≥8路网口输出接口，≥1路音频输出接口；</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left w:val="single" w:color="000000" w:sz="8" w:space="0"/>
              <w:right w:val="single" w:color="000000" w:sz="8"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720" w:hRule="atLeast"/>
        </w:trPr>
        <w:tc>
          <w:tcPr>
            <w:tcW w:w="45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791"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备品备件</w:t>
            </w:r>
          </w:p>
        </w:tc>
        <w:tc>
          <w:tcPr>
            <w:tcW w:w="3418" w:type="dxa"/>
            <w:gridSpan w:val="2"/>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三合一板卡、灯板、备用灯珠和IC等</w:t>
            </w:r>
          </w:p>
        </w:tc>
        <w:tc>
          <w:tcPr>
            <w:tcW w:w="9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w:t>
            </w:r>
          </w:p>
        </w:tc>
        <w:tc>
          <w:tcPr>
            <w:tcW w:w="1024"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 xml:space="preserve"> </w:t>
            </w:r>
          </w:p>
        </w:tc>
        <w:tc>
          <w:tcPr>
            <w:tcW w:w="941" w:type="dxa"/>
            <w:tcBorders>
              <w:top w:val="single" w:color="000000" w:sz="8" w:space="0"/>
              <w:left w:val="single" w:color="000000" w:sz="8" w:space="0"/>
              <w:bottom w:val="single" w:color="000000" w:sz="8" w:space="0"/>
              <w:right w:val="single" w:color="000000" w:sz="8" w:space="0"/>
            </w:tcBorders>
          </w:tcPr>
          <w:p>
            <w:pPr>
              <w:widowControl/>
              <w:textAlignment w:val="center"/>
              <w:rPr>
                <w:rFonts w:ascii="宋体" w:hAnsi="宋体" w:cs="宋体"/>
                <w:color w:val="000000"/>
                <w:szCs w:val="21"/>
              </w:rPr>
            </w:pPr>
          </w:p>
        </w:tc>
        <w:tc>
          <w:tcPr>
            <w:tcW w:w="936" w:type="dxa"/>
            <w:tcBorders>
              <w:top w:val="single" w:color="000000" w:sz="8" w:space="0"/>
              <w:left w:val="single" w:color="000000" w:sz="8" w:space="0"/>
              <w:bottom w:val="single" w:color="000000" w:sz="8" w:space="0"/>
              <w:right w:val="single" w:color="000000" w:sz="8" w:space="0"/>
            </w:tcBorders>
          </w:tcPr>
          <w:p>
            <w:pPr>
              <w:widowControl/>
              <w:textAlignment w:val="center"/>
              <w:rPr>
                <w:rFonts w:ascii="宋体" w:hAnsi="宋体" w:cs="宋体"/>
                <w:color w:val="000000"/>
                <w:sz w:val="24"/>
              </w:rPr>
            </w:pPr>
          </w:p>
        </w:tc>
      </w:tr>
      <w:tr>
        <w:tblPrEx>
          <w:tblCellMar>
            <w:top w:w="0" w:type="dxa"/>
            <w:left w:w="108" w:type="dxa"/>
            <w:bottom w:w="0" w:type="dxa"/>
            <w:right w:w="108" w:type="dxa"/>
          </w:tblCellMar>
        </w:tblPrEx>
        <w:trPr>
          <w:trHeight w:val="688" w:hRule="atLeast"/>
        </w:trPr>
        <w:tc>
          <w:tcPr>
            <w:tcW w:w="45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w:t>
            </w:r>
          </w:p>
        </w:tc>
        <w:tc>
          <w:tcPr>
            <w:tcW w:w="791" w:type="dxa"/>
            <w:gridSpan w:val="2"/>
            <w:tcBorders>
              <w:top w:val="nil"/>
              <w:left w:val="single" w:color="000000" w:sz="8" w:space="0"/>
              <w:bottom w:val="single" w:color="auto" w:sz="4"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安装结构</w:t>
            </w:r>
          </w:p>
        </w:tc>
        <w:tc>
          <w:tcPr>
            <w:tcW w:w="3418" w:type="dxa"/>
            <w:gridSpan w:val="2"/>
            <w:tcBorders>
              <w:top w:val="nil"/>
              <w:left w:val="single" w:color="000000" w:sz="8" w:space="0"/>
              <w:bottom w:val="single" w:color="auto" w:sz="4"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钢结构支架根据现场实际勘测为准</w:t>
            </w:r>
          </w:p>
        </w:tc>
        <w:tc>
          <w:tcPr>
            <w:tcW w:w="9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w:t>
            </w:r>
          </w:p>
        </w:tc>
        <w:tc>
          <w:tcPr>
            <w:tcW w:w="1024"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 xml:space="preserve"> </w:t>
            </w:r>
          </w:p>
        </w:tc>
        <w:tc>
          <w:tcPr>
            <w:tcW w:w="941" w:type="dxa"/>
            <w:tcBorders>
              <w:top w:val="nil"/>
              <w:left w:val="single" w:color="000000" w:sz="8" w:space="0"/>
              <w:bottom w:val="single" w:color="000000" w:sz="8" w:space="0"/>
              <w:right w:val="single" w:color="000000" w:sz="8" w:space="0"/>
            </w:tcBorders>
          </w:tcPr>
          <w:p>
            <w:pPr>
              <w:widowControl/>
              <w:textAlignment w:val="center"/>
              <w:rPr>
                <w:rFonts w:ascii="宋体" w:hAnsi="宋体" w:cs="宋体"/>
                <w:color w:val="000000"/>
                <w:szCs w:val="21"/>
              </w:rPr>
            </w:pPr>
          </w:p>
        </w:tc>
        <w:tc>
          <w:tcPr>
            <w:tcW w:w="936" w:type="dxa"/>
            <w:tcBorders>
              <w:top w:val="nil"/>
              <w:left w:val="single" w:color="000000" w:sz="8" w:space="0"/>
              <w:bottom w:val="single" w:color="000000" w:sz="8" w:space="0"/>
              <w:right w:val="single" w:color="000000" w:sz="8" w:space="0"/>
            </w:tcBorders>
          </w:tcPr>
          <w:p>
            <w:pPr>
              <w:widowControl/>
              <w:textAlignment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w:t>
            </w:r>
          </w:p>
        </w:tc>
        <w:tc>
          <w:tcPr>
            <w:tcW w:w="791" w:type="dxa"/>
            <w:gridSpan w:val="2"/>
            <w:vMerge w:val="restart"/>
            <w:tcBorders>
              <w:top w:val="nil"/>
              <w:left w:val="single" w:color="000000" w:sz="8" w:space="0"/>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配电柜</w:t>
            </w:r>
          </w:p>
        </w:tc>
        <w:tc>
          <w:tcPr>
            <w:tcW w:w="3418" w:type="dxa"/>
            <w:gridSpan w:val="2"/>
            <w:tcBorders>
              <w:top w:val="nil"/>
              <w:left w:val="single" w:color="000000" w:sz="4" w:space="0"/>
              <w:bottom w:val="nil"/>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1.额定功率：≥20kW，输出路数：≥6路</w:t>
            </w:r>
          </w:p>
        </w:tc>
        <w:tc>
          <w:tcPr>
            <w:tcW w:w="990" w:type="dxa"/>
            <w:vMerge w:val="restart"/>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05"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1024"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rPr>
              <w:t xml:space="preserve"> </w:t>
            </w:r>
            <w:r>
              <w:t>itc、PUSG、金业诚兴</w:t>
            </w:r>
          </w:p>
        </w:tc>
        <w:tc>
          <w:tcPr>
            <w:tcW w:w="941" w:type="dxa"/>
            <w:vMerge w:val="restart"/>
            <w:tcBorders>
              <w:top w:val="nil"/>
              <w:left w:val="single" w:color="000000" w:sz="8" w:space="0"/>
              <w:right w:val="single" w:color="000000" w:sz="8" w:space="0"/>
            </w:tcBorders>
          </w:tcPr>
          <w:p>
            <w:pPr>
              <w:widowControl/>
              <w:jc w:val="center"/>
              <w:textAlignment w:val="center"/>
              <w:rPr>
                <w:rFonts w:ascii="宋体" w:hAnsi="宋体" w:cs="宋体"/>
                <w:color w:val="000000"/>
                <w:szCs w:val="21"/>
              </w:rPr>
            </w:pPr>
          </w:p>
        </w:tc>
        <w:tc>
          <w:tcPr>
            <w:tcW w:w="936" w:type="dxa"/>
            <w:vMerge w:val="restart"/>
            <w:tcBorders>
              <w:top w:val="nil"/>
              <w:left w:val="single" w:color="000000" w:sz="8" w:space="0"/>
              <w:right w:val="single" w:color="000000" w:sz="8" w:space="0"/>
            </w:tcBorders>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nil"/>
            </w:tcBorders>
            <w:vAlign w:val="center"/>
          </w:tcPr>
          <w:p>
            <w:pPr>
              <w:jc w:val="center"/>
              <w:rPr>
                <w:rFonts w:ascii="宋体" w:hAnsi="宋体" w:cs="宋体"/>
                <w:color w:val="000000"/>
                <w:szCs w:val="21"/>
              </w:rPr>
            </w:pPr>
          </w:p>
        </w:tc>
        <w:tc>
          <w:tcPr>
            <w:tcW w:w="3418" w:type="dxa"/>
            <w:gridSpan w:val="2"/>
            <w:tcBorders>
              <w:top w:val="nil"/>
              <w:left w:val="single" w:color="000000" w:sz="4" w:space="0"/>
              <w:bottom w:val="nil"/>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2.输入电压：三相五线制AC380V±10%，频率50Hz±5%，具有高温断电、浪涌、短路、过流、过载保护功能；</w:t>
            </w:r>
          </w:p>
        </w:tc>
        <w:tc>
          <w:tcPr>
            <w:tcW w:w="990"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left w:val="single" w:color="000000" w:sz="8" w:space="0"/>
              <w:right w:val="single" w:color="000000" w:sz="8" w:space="0"/>
            </w:tcBorders>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nil"/>
            </w:tcBorders>
            <w:vAlign w:val="center"/>
          </w:tcPr>
          <w:p>
            <w:pPr>
              <w:jc w:val="center"/>
              <w:rPr>
                <w:rFonts w:ascii="宋体" w:hAnsi="宋体" w:cs="宋体"/>
                <w:color w:val="000000"/>
                <w:szCs w:val="21"/>
              </w:rPr>
            </w:pPr>
          </w:p>
        </w:tc>
        <w:tc>
          <w:tcPr>
            <w:tcW w:w="3418" w:type="dxa"/>
            <w:gridSpan w:val="2"/>
            <w:tcBorders>
              <w:top w:val="nil"/>
              <w:left w:val="single" w:color="000000" w:sz="4" w:space="0"/>
              <w:bottom w:val="nil"/>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3.输出电压：单相三线制AC220V±10%；</w:t>
            </w:r>
          </w:p>
        </w:tc>
        <w:tc>
          <w:tcPr>
            <w:tcW w:w="990"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left w:val="single" w:color="000000" w:sz="8" w:space="0"/>
              <w:right w:val="single" w:color="000000" w:sz="8" w:space="0"/>
            </w:tcBorders>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nil"/>
            </w:tcBorders>
            <w:vAlign w:val="center"/>
          </w:tcPr>
          <w:p>
            <w:pPr>
              <w:jc w:val="center"/>
              <w:rPr>
                <w:rFonts w:ascii="宋体" w:hAnsi="宋体" w:cs="宋体"/>
                <w:color w:val="000000"/>
                <w:szCs w:val="21"/>
              </w:rPr>
            </w:pPr>
          </w:p>
        </w:tc>
        <w:tc>
          <w:tcPr>
            <w:tcW w:w="3418" w:type="dxa"/>
            <w:gridSpan w:val="2"/>
            <w:tcBorders>
              <w:top w:val="nil"/>
              <w:left w:val="single" w:color="000000" w:sz="4" w:space="0"/>
              <w:bottom w:val="nil"/>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4.内置避雷器，具有避雷防雷功能；</w:t>
            </w:r>
          </w:p>
        </w:tc>
        <w:tc>
          <w:tcPr>
            <w:tcW w:w="990"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left w:val="single" w:color="000000" w:sz="8" w:space="0"/>
              <w:right w:val="single" w:color="000000" w:sz="8" w:space="0"/>
            </w:tcBorders>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nil"/>
            </w:tcBorders>
            <w:vAlign w:val="center"/>
          </w:tcPr>
          <w:p>
            <w:pPr>
              <w:jc w:val="center"/>
              <w:rPr>
                <w:rFonts w:ascii="宋体" w:hAnsi="宋体" w:cs="宋体"/>
                <w:color w:val="000000"/>
                <w:szCs w:val="21"/>
              </w:rPr>
            </w:pPr>
          </w:p>
        </w:tc>
        <w:tc>
          <w:tcPr>
            <w:tcW w:w="3418" w:type="dxa"/>
            <w:gridSpan w:val="2"/>
            <w:tcBorders>
              <w:top w:val="nil"/>
              <w:left w:val="single" w:color="000000" w:sz="4" w:space="0"/>
              <w:bottom w:val="nil"/>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5.配电柜含多功能卡控制，具有远程控制功能、RS232串口或千兆网口通信；</w:t>
            </w:r>
          </w:p>
        </w:tc>
        <w:tc>
          <w:tcPr>
            <w:tcW w:w="990"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left w:val="single" w:color="000000" w:sz="8" w:space="0"/>
              <w:right w:val="single" w:color="000000" w:sz="8" w:space="0"/>
            </w:tcBorders>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nil"/>
            </w:tcBorders>
            <w:vAlign w:val="center"/>
          </w:tcPr>
          <w:p>
            <w:pPr>
              <w:jc w:val="center"/>
              <w:rPr>
                <w:rFonts w:ascii="宋体" w:hAnsi="宋体" w:cs="宋体"/>
                <w:color w:val="000000"/>
                <w:szCs w:val="21"/>
              </w:rPr>
            </w:pPr>
          </w:p>
        </w:tc>
        <w:tc>
          <w:tcPr>
            <w:tcW w:w="3418" w:type="dxa"/>
            <w:gridSpan w:val="2"/>
            <w:tcBorders>
              <w:top w:val="nil"/>
              <w:left w:val="single" w:color="000000" w:sz="4" w:space="0"/>
              <w:bottom w:val="nil"/>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6.通过LED显示屏智慧控制系统软件搭配多功能卡实现电源监视、温度监控操作；</w:t>
            </w:r>
          </w:p>
        </w:tc>
        <w:tc>
          <w:tcPr>
            <w:tcW w:w="990"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left w:val="single" w:color="000000" w:sz="8" w:space="0"/>
              <w:right w:val="single" w:color="000000" w:sz="8" w:space="0"/>
            </w:tcBorders>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45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91" w:type="dxa"/>
            <w:gridSpan w:val="2"/>
            <w:vMerge w:val="continue"/>
            <w:tcBorders>
              <w:top w:val="nil"/>
              <w:left w:val="single" w:color="000000" w:sz="8" w:space="0"/>
              <w:bottom w:val="single" w:color="000000" w:sz="8" w:space="0"/>
              <w:right w:val="nil"/>
            </w:tcBorders>
            <w:vAlign w:val="center"/>
          </w:tcPr>
          <w:p>
            <w:pPr>
              <w:jc w:val="center"/>
              <w:rPr>
                <w:rFonts w:ascii="宋体" w:hAnsi="宋体" w:cs="宋体"/>
                <w:color w:val="000000"/>
                <w:szCs w:val="21"/>
              </w:rPr>
            </w:pPr>
          </w:p>
        </w:tc>
        <w:tc>
          <w:tcPr>
            <w:tcW w:w="3418" w:type="dxa"/>
            <w:gridSpan w:val="2"/>
            <w:tcBorders>
              <w:top w:val="nil"/>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接口：RS485串口或千兆网口通信RJ45</w:t>
            </w:r>
          </w:p>
        </w:tc>
        <w:tc>
          <w:tcPr>
            <w:tcW w:w="990"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941" w:type="dxa"/>
            <w:vMerge w:val="continue"/>
            <w:tcBorders>
              <w:left w:val="single" w:color="000000" w:sz="8" w:space="0"/>
              <w:bottom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left w:val="single" w:color="000000" w:sz="8" w:space="0"/>
              <w:bottom w:val="single" w:color="000000" w:sz="8" w:space="0"/>
              <w:right w:val="single" w:color="000000" w:sz="8" w:space="0"/>
            </w:tcBorders>
          </w:tcPr>
          <w:p>
            <w:pPr>
              <w:jc w:val="center"/>
              <w:rPr>
                <w:rFonts w:ascii="宋体" w:hAnsi="宋体" w:cs="宋体"/>
                <w:color w:val="000000"/>
                <w:sz w:val="24"/>
              </w:rPr>
            </w:pPr>
          </w:p>
        </w:tc>
      </w:tr>
      <w:tr>
        <w:tblPrEx>
          <w:tblCellMar>
            <w:top w:w="0" w:type="dxa"/>
            <w:left w:w="108" w:type="dxa"/>
            <w:bottom w:w="0" w:type="dxa"/>
            <w:right w:w="108" w:type="dxa"/>
          </w:tblCellMar>
        </w:tblPrEx>
        <w:trPr>
          <w:trHeight w:val="1012" w:hRule="atLeast"/>
        </w:trPr>
        <w:tc>
          <w:tcPr>
            <w:tcW w:w="45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w:t>
            </w:r>
          </w:p>
        </w:tc>
        <w:tc>
          <w:tcPr>
            <w:tcW w:w="791"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工程线缆</w:t>
            </w:r>
          </w:p>
        </w:tc>
        <w:tc>
          <w:tcPr>
            <w:tcW w:w="3418" w:type="dxa"/>
            <w:gridSpan w:val="2"/>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提供配电柜到屏幕的强电线，控制器到屏体信号线</w:t>
            </w:r>
          </w:p>
        </w:tc>
        <w:tc>
          <w:tcPr>
            <w:tcW w:w="9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1024"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预埋线到配电柜</w:t>
            </w:r>
          </w:p>
        </w:tc>
        <w:tc>
          <w:tcPr>
            <w:tcW w:w="941" w:type="dxa"/>
            <w:tcBorders>
              <w:top w:val="nil"/>
              <w:left w:val="single" w:color="000000" w:sz="8" w:space="0"/>
              <w:bottom w:val="single" w:color="000000" w:sz="8" w:space="0"/>
              <w:right w:val="single" w:color="000000" w:sz="8" w:space="0"/>
            </w:tcBorders>
          </w:tcPr>
          <w:p>
            <w:pPr>
              <w:widowControl/>
              <w:jc w:val="center"/>
              <w:textAlignment w:val="center"/>
              <w:rPr>
                <w:rFonts w:ascii="宋体" w:hAnsi="宋体" w:cs="宋体"/>
                <w:color w:val="000000"/>
                <w:szCs w:val="21"/>
              </w:rPr>
            </w:pPr>
          </w:p>
        </w:tc>
        <w:tc>
          <w:tcPr>
            <w:tcW w:w="936" w:type="dxa"/>
            <w:tcBorders>
              <w:top w:val="nil"/>
              <w:left w:val="single" w:color="000000" w:sz="8" w:space="0"/>
              <w:bottom w:val="single" w:color="000000" w:sz="8" w:space="0"/>
              <w:right w:val="single" w:color="000000" w:sz="8" w:space="0"/>
            </w:tcBorders>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838" w:hRule="atLeast"/>
        </w:trPr>
        <w:tc>
          <w:tcPr>
            <w:tcW w:w="45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p>
        </w:tc>
        <w:tc>
          <w:tcPr>
            <w:tcW w:w="791"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运输安装调试费</w:t>
            </w:r>
          </w:p>
        </w:tc>
        <w:tc>
          <w:tcPr>
            <w:tcW w:w="3418"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运输安装调试</w:t>
            </w:r>
          </w:p>
        </w:tc>
        <w:tc>
          <w:tcPr>
            <w:tcW w:w="9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w:t>
            </w:r>
          </w:p>
        </w:tc>
        <w:tc>
          <w:tcPr>
            <w:tcW w:w="1024"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 xml:space="preserve"> </w:t>
            </w:r>
          </w:p>
        </w:tc>
        <w:tc>
          <w:tcPr>
            <w:tcW w:w="941" w:type="dxa"/>
            <w:tcBorders>
              <w:top w:val="nil"/>
              <w:left w:val="single" w:color="000000" w:sz="8" w:space="0"/>
              <w:bottom w:val="single" w:color="000000" w:sz="8" w:space="0"/>
              <w:right w:val="single" w:color="000000" w:sz="8" w:space="0"/>
            </w:tcBorders>
          </w:tcPr>
          <w:p>
            <w:pPr>
              <w:widowControl/>
              <w:textAlignment w:val="center"/>
              <w:rPr>
                <w:rFonts w:ascii="宋体" w:hAnsi="宋体" w:cs="宋体"/>
                <w:color w:val="000000"/>
                <w:szCs w:val="21"/>
              </w:rPr>
            </w:pPr>
          </w:p>
        </w:tc>
        <w:tc>
          <w:tcPr>
            <w:tcW w:w="936" w:type="dxa"/>
            <w:tcBorders>
              <w:top w:val="nil"/>
              <w:left w:val="single" w:color="000000" w:sz="8" w:space="0"/>
              <w:bottom w:val="single" w:color="000000" w:sz="8" w:space="0"/>
              <w:right w:val="single" w:color="000000" w:sz="8" w:space="0"/>
            </w:tcBorders>
          </w:tcPr>
          <w:p>
            <w:pPr>
              <w:widowControl/>
              <w:textAlignment w:val="center"/>
              <w:rPr>
                <w:rFonts w:ascii="宋体" w:hAnsi="宋体" w:cs="宋体"/>
                <w:color w:val="000000"/>
                <w:sz w:val="24"/>
              </w:rPr>
            </w:pPr>
          </w:p>
        </w:tc>
      </w:tr>
      <w:tr>
        <w:tblPrEx>
          <w:tblCellMar>
            <w:top w:w="0" w:type="dxa"/>
            <w:left w:w="108" w:type="dxa"/>
            <w:bottom w:w="0" w:type="dxa"/>
            <w:right w:w="108" w:type="dxa"/>
          </w:tblCellMar>
        </w:tblPrEx>
        <w:trPr>
          <w:trHeight w:val="402" w:hRule="atLeast"/>
        </w:trPr>
        <w:tc>
          <w:tcPr>
            <w:tcW w:w="9263" w:type="dxa"/>
            <w:gridSpan w:val="10"/>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二、视频监控系统</w:t>
            </w:r>
          </w:p>
        </w:tc>
      </w:tr>
      <w:tr>
        <w:tblPrEx>
          <w:tblCellMar>
            <w:top w:w="0" w:type="dxa"/>
            <w:left w:w="108" w:type="dxa"/>
            <w:bottom w:w="0" w:type="dxa"/>
            <w:right w:w="108" w:type="dxa"/>
          </w:tblCellMar>
        </w:tblPrEx>
        <w:trPr>
          <w:trHeight w:val="681" w:hRule="atLeast"/>
        </w:trPr>
        <w:tc>
          <w:tcPr>
            <w:tcW w:w="663"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序号</w:t>
            </w:r>
          </w:p>
        </w:tc>
        <w:tc>
          <w:tcPr>
            <w:tcW w:w="692"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设备名称</w:t>
            </w:r>
          </w:p>
        </w:tc>
        <w:tc>
          <w:tcPr>
            <w:tcW w:w="331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技术参数</w:t>
            </w:r>
          </w:p>
        </w:tc>
        <w:tc>
          <w:tcPr>
            <w:tcW w:w="9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w:t>
            </w:r>
          </w:p>
        </w:tc>
        <w:tc>
          <w:tcPr>
            <w:tcW w:w="7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单位</w:t>
            </w:r>
          </w:p>
        </w:tc>
        <w:tc>
          <w:tcPr>
            <w:tcW w:w="102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推荐品牌</w:t>
            </w:r>
          </w:p>
        </w:tc>
        <w:tc>
          <w:tcPr>
            <w:tcW w:w="94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单价（元）</w:t>
            </w:r>
          </w:p>
        </w:tc>
        <w:tc>
          <w:tcPr>
            <w:tcW w:w="9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总价（元）</w:t>
            </w:r>
          </w:p>
        </w:tc>
      </w:tr>
      <w:tr>
        <w:tblPrEx>
          <w:tblCellMar>
            <w:top w:w="0" w:type="dxa"/>
            <w:left w:w="108" w:type="dxa"/>
            <w:bottom w:w="0" w:type="dxa"/>
            <w:right w:w="108" w:type="dxa"/>
          </w:tblCellMar>
        </w:tblPrEx>
        <w:trPr>
          <w:trHeight w:val="170" w:hRule="atLeast"/>
        </w:trPr>
        <w:tc>
          <w:tcPr>
            <w:tcW w:w="663" w:type="dxa"/>
            <w:gridSpan w:val="2"/>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692" w:type="dxa"/>
            <w:gridSpan w:val="2"/>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200万红外定焦枪型网络摄像机</w:t>
            </w:r>
          </w:p>
        </w:tc>
        <w:tc>
          <w:tcPr>
            <w:tcW w:w="3312"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电子快门: 1/3s~1/100000s (可手动或自动调节) ;</w:t>
            </w:r>
          </w:p>
        </w:tc>
        <w:tc>
          <w:tcPr>
            <w:tcW w:w="990"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705"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个</w:t>
            </w:r>
          </w:p>
        </w:tc>
        <w:tc>
          <w:tcPr>
            <w:tcW w:w="1024" w:type="dxa"/>
            <w:vMerge w:val="restart"/>
            <w:tcBorders>
              <w:top w:val="nil"/>
              <w:left w:val="single" w:color="000000" w:sz="8" w:space="0"/>
              <w:right w:val="single" w:color="000000" w:sz="8" w:space="0"/>
            </w:tcBorders>
            <w:vAlign w:val="center"/>
          </w:tcPr>
          <w:p>
            <w:pPr>
              <w:widowControl/>
              <w:wordWrap w:val="0"/>
              <w:textAlignment w:val="center"/>
              <w:rPr>
                <w:rFonts w:ascii="宋体" w:hAnsi="宋体" w:cs="宋体"/>
                <w:color w:val="000000"/>
                <w:szCs w:val="21"/>
              </w:rPr>
            </w:pPr>
            <w:r>
              <w:t>大</w:t>
            </w:r>
            <w:r>
              <w:rPr>
                <w:rFonts w:ascii="宋体" w:hAnsi="宋体" w:cs="宋体"/>
                <w:color w:val="000000"/>
                <w:szCs w:val="21"/>
              </w:rPr>
              <w:t>华，海康</w:t>
            </w:r>
            <w:r>
              <w:t>，宇视</w:t>
            </w:r>
          </w:p>
        </w:tc>
        <w:tc>
          <w:tcPr>
            <w:tcW w:w="941" w:type="dxa"/>
            <w:vMerge w:val="restart"/>
            <w:tcBorders>
              <w:top w:val="nil"/>
              <w:left w:val="single" w:color="000000" w:sz="8" w:space="0"/>
              <w:right w:val="single" w:color="000000" w:sz="8" w:space="0"/>
            </w:tcBorders>
          </w:tcPr>
          <w:p>
            <w:pPr>
              <w:widowControl/>
              <w:jc w:val="center"/>
              <w:textAlignment w:val="center"/>
              <w:rPr>
                <w:rFonts w:ascii="宋体" w:hAnsi="宋体" w:cs="宋体"/>
                <w:color w:val="000000"/>
                <w:szCs w:val="21"/>
              </w:rPr>
            </w:pPr>
          </w:p>
        </w:tc>
        <w:tc>
          <w:tcPr>
            <w:tcW w:w="936"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w:t>
            </w: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视频帧率: 50Hz: 主码流 (1920×1080@25fps) , 辅码流 (704×576@25fps) ; 60Hz:</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主码流 (1920×1080@30fps) , 辅码流 (704×480@30fps) ;</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传感器类型: 1/2.8英寸CMOS;</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像素: 200万;</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最大分辨率: 1920×1080;</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最低照度: 0.01lux (彩色模式) ; 0.001lux (黑白模式) ; 0lux (补光灯开启)</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最大补光距离：50m (红外)；</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补光灯：1颗 (红外灯)；</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镜头类型：定焦；</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镜头焦距: 3.6mm;</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镜头光圈: F2.0;</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视场角: 水平: 88°; 垂直: 47°; 对角: 104°;</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智能编码: H.264:支持;H.265:支持;</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宽动态：支持；</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走廊模式: 90°/270°(在 1080P 分辨率及以下支持)</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报警事件：网络断开；IP 冲突；非法访问；动态检测；视频遮挡；安全异常；</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接入标准: ONVIF (Profile S &amp; Profile T) ; CGI; GB/T28181; 大华云联;</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预览最大用户数：6个 (总带宽：36M)；</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4" w:space="0"/>
              <w:bottom w:val="nil"/>
              <w:right w:val="single" w:color="000000" w:sz="4"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供电方式: DC12V/PoE;</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single" w:color="000000" w:sz="8" w:space="0"/>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防护等级: IP67</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bottom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bottom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692" w:type="dxa"/>
            <w:gridSpan w:val="2"/>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200万红外定焦海螺网络摄像机</w:t>
            </w: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传感器类型: 1/2.8英寸CMOS;</w:t>
            </w:r>
          </w:p>
        </w:tc>
        <w:tc>
          <w:tcPr>
            <w:tcW w:w="990"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w:t>
            </w:r>
          </w:p>
        </w:tc>
        <w:tc>
          <w:tcPr>
            <w:tcW w:w="705"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个</w:t>
            </w:r>
          </w:p>
        </w:tc>
        <w:tc>
          <w:tcPr>
            <w:tcW w:w="1024" w:type="dxa"/>
            <w:vMerge w:val="restart"/>
            <w:tcBorders>
              <w:top w:val="nil"/>
              <w:left w:val="single" w:color="000000" w:sz="8" w:space="0"/>
              <w:right w:val="single" w:color="000000" w:sz="8" w:space="0"/>
            </w:tcBorders>
            <w:vAlign w:val="center"/>
          </w:tcPr>
          <w:p>
            <w:pPr>
              <w:widowControl/>
              <w:jc w:val="center"/>
              <w:textAlignment w:val="center"/>
              <w:rPr>
                <w:rFonts w:ascii="宋体" w:hAnsi="宋体" w:cs="宋体"/>
                <w:color w:val="000000"/>
                <w:szCs w:val="21"/>
              </w:rPr>
            </w:pPr>
            <w:r>
              <w:t>大华，海康，宇视</w:t>
            </w:r>
          </w:p>
        </w:tc>
        <w:tc>
          <w:tcPr>
            <w:tcW w:w="941" w:type="dxa"/>
            <w:vMerge w:val="restart"/>
            <w:tcBorders>
              <w:top w:val="nil"/>
              <w:left w:val="single" w:color="000000" w:sz="8" w:space="0"/>
              <w:right w:val="single" w:color="000000" w:sz="8" w:space="0"/>
            </w:tcBorders>
          </w:tcPr>
          <w:p>
            <w:pPr>
              <w:widowControl/>
              <w:textAlignment w:val="center"/>
              <w:rPr>
                <w:rFonts w:ascii="宋体" w:hAnsi="宋体" w:cs="宋体"/>
                <w:color w:val="000000"/>
                <w:szCs w:val="21"/>
              </w:rPr>
            </w:pPr>
          </w:p>
        </w:tc>
        <w:tc>
          <w:tcPr>
            <w:tcW w:w="936" w:type="dxa"/>
            <w:vMerge w:val="restart"/>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像素: 200万;</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最大分辨率: 1920×1080;</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最低照度: 0.01lux (彩色模式) ; 0.001lux (黑白模式) ; 0lux (补光灯开启) ;</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最大补光距离：50m (红外)；</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补光灯：2颗 (红外灯)；</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镜头类型：定焦；</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镜头焦距: 2.8mm;</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镜头光圈: F2.0;</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视场角: 水平: 96°; 垂直: 52°; 对角: 118°;</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智能编码: H.264:支持;H.265:支持;</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宽动态：支持；</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走廊模式: 90°/270°(在 1080P 分辨率及以下支持) ;</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内置MIC: 支持, 内置1个MIC;</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482"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vMerge w:val="restart"/>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报警事件：网络断开；IP 冲突；非法访问；动态检测；视频遮挡；音频异常侦测；安全异常；</w:t>
            </w:r>
          </w:p>
          <w:p>
            <w:pPr>
              <w:widowControl/>
              <w:textAlignment w:val="center"/>
              <w:rPr>
                <w:rFonts w:ascii="宋体" w:hAnsi="宋体" w:cs="宋体"/>
                <w:color w:val="000000"/>
                <w:szCs w:val="21"/>
              </w:rPr>
            </w:pPr>
            <w:r>
              <w:rPr>
                <w:rFonts w:hint="eastAsia" w:ascii="宋体" w:hAnsi="宋体" w:cs="宋体"/>
                <w:color w:val="000000"/>
                <w:szCs w:val="21"/>
              </w:rPr>
              <w:t>接入标准: ONVIF (Profile S) ; CGI; GB/T28181; 乐橙云;</w:t>
            </w:r>
          </w:p>
          <w:p>
            <w:pPr>
              <w:widowControl/>
              <w:textAlignment w:val="center"/>
              <w:rPr>
                <w:rFonts w:ascii="宋体" w:hAnsi="宋体" w:cs="宋体"/>
                <w:color w:val="000000"/>
                <w:szCs w:val="21"/>
              </w:rPr>
            </w:pPr>
            <w:r>
              <w:rPr>
                <w:rFonts w:hint="eastAsia" w:ascii="宋体" w:hAnsi="宋体" w:cs="宋体"/>
                <w:color w:val="000000"/>
                <w:szCs w:val="21"/>
              </w:rPr>
              <w:t>预览最大用户数：6个 (总带宽：36M)；</w:t>
            </w:r>
          </w:p>
          <w:p>
            <w:pPr>
              <w:widowControl/>
              <w:textAlignment w:val="center"/>
              <w:rPr>
                <w:rFonts w:ascii="宋体" w:hAnsi="宋体" w:cs="宋体"/>
                <w:color w:val="000000"/>
                <w:szCs w:val="21"/>
              </w:rPr>
            </w:pPr>
            <w:r>
              <w:rPr>
                <w:rFonts w:hint="eastAsia" w:ascii="宋体" w:hAnsi="宋体" w:cs="宋体"/>
                <w:color w:val="000000"/>
                <w:szCs w:val="21"/>
              </w:rPr>
              <w:t>供电方式: DC12V/PoE;</w:t>
            </w:r>
          </w:p>
          <w:p>
            <w:pPr>
              <w:textAlignment w:val="center"/>
              <w:rPr>
                <w:rFonts w:ascii="宋体" w:hAnsi="宋体" w:cs="宋体"/>
                <w:color w:val="000000"/>
                <w:szCs w:val="21"/>
              </w:rPr>
            </w:pPr>
            <w:r>
              <w:rPr>
                <w:rFonts w:hint="eastAsia" w:ascii="宋体" w:hAnsi="宋体" w:cs="宋体"/>
                <w:color w:val="000000"/>
                <w:szCs w:val="21"/>
              </w:rPr>
              <w:t>防护等级: IP67</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bottom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bottom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53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vMerge w:val="continue"/>
            <w:tcBorders>
              <w:left w:val="single" w:color="000000" w:sz="8" w:space="0"/>
              <w:bottom w:val="nil"/>
              <w:right w:val="single" w:color="000000" w:sz="8" w:space="0"/>
            </w:tcBorders>
            <w:vAlign w:val="center"/>
          </w:tcPr>
          <w:p>
            <w:pPr>
              <w:textAlignment w:val="center"/>
              <w:rPr>
                <w:rFonts w:ascii="宋体" w:hAnsi="宋体" w:cs="宋体"/>
                <w:color w:val="000000"/>
                <w:szCs w:val="21"/>
              </w:rPr>
            </w:pP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tcBorders>
              <w:top w:val="nil"/>
              <w:left w:val="single" w:color="000000" w:sz="8" w:space="0"/>
              <w:bottom w:val="nil"/>
              <w:right w:val="single" w:color="000000" w:sz="8" w:space="0"/>
            </w:tcBorders>
          </w:tcPr>
          <w:p>
            <w:pPr>
              <w:rPr>
                <w:rFonts w:ascii="宋体" w:hAnsi="宋体" w:cs="宋体"/>
                <w:color w:val="000000"/>
                <w:szCs w:val="21"/>
              </w:rPr>
            </w:pPr>
          </w:p>
        </w:tc>
        <w:tc>
          <w:tcPr>
            <w:tcW w:w="941" w:type="dxa"/>
            <w:tcBorders>
              <w:top w:val="nil"/>
              <w:left w:val="single" w:color="000000" w:sz="8" w:space="0"/>
              <w:bottom w:val="nil"/>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692"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摄像头支架</w:t>
            </w:r>
          </w:p>
        </w:tc>
        <w:tc>
          <w:tcPr>
            <w:tcW w:w="3312" w:type="dxa"/>
            <w:tcBorders>
              <w:top w:val="single" w:color="000000" w:sz="8" w:space="0"/>
              <w:left w:val="single" w:color="000000" w:sz="8" w:space="0"/>
              <w:bottom w:val="single" w:color="000000" w:sz="8" w:space="0"/>
              <w:right w:val="single" w:color="000000" w:sz="8" w:space="0"/>
            </w:tcBorders>
            <w:vAlign w:val="center"/>
          </w:tcPr>
          <w:p>
            <w:pPr>
              <w:widowControl/>
              <w:ind w:firstLine="1260" w:firstLineChars="600"/>
              <w:textAlignment w:val="center"/>
              <w:rPr>
                <w:rFonts w:ascii="宋体" w:hAnsi="宋体" w:cs="宋体"/>
                <w:color w:val="000000"/>
                <w:szCs w:val="21"/>
              </w:rPr>
            </w:pPr>
            <w:r>
              <w:rPr>
                <w:rFonts w:hint="eastAsia" w:ascii="宋体" w:hAnsi="宋体" w:cs="宋体"/>
                <w:color w:val="000000"/>
                <w:szCs w:val="21"/>
              </w:rPr>
              <w:t>定制</w:t>
            </w:r>
          </w:p>
        </w:tc>
        <w:tc>
          <w:tcPr>
            <w:tcW w:w="99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7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支</w:t>
            </w:r>
          </w:p>
        </w:tc>
        <w:tc>
          <w:tcPr>
            <w:tcW w:w="1024" w:type="dxa"/>
            <w:tcBorders>
              <w:top w:val="single" w:color="000000" w:sz="8" w:space="0"/>
              <w:left w:val="single" w:color="000000" w:sz="8" w:space="0"/>
              <w:bottom w:val="single" w:color="000000" w:sz="8" w:space="0"/>
              <w:right w:val="single" w:color="000000" w:sz="8" w:space="0"/>
            </w:tcBorders>
          </w:tcPr>
          <w:p>
            <w:pPr>
              <w:widowControl/>
              <w:textAlignment w:val="center"/>
              <w:rPr>
                <w:rFonts w:ascii="宋体" w:hAnsi="宋体" w:cs="宋体"/>
                <w:color w:val="000000"/>
                <w:szCs w:val="21"/>
              </w:rPr>
            </w:pPr>
          </w:p>
        </w:tc>
        <w:tc>
          <w:tcPr>
            <w:tcW w:w="941" w:type="dxa"/>
            <w:tcBorders>
              <w:top w:val="single" w:color="000000" w:sz="8" w:space="0"/>
              <w:left w:val="single" w:color="000000" w:sz="8" w:space="0"/>
              <w:bottom w:val="single" w:color="000000" w:sz="8" w:space="0"/>
              <w:right w:val="single" w:color="000000" w:sz="8" w:space="0"/>
            </w:tcBorders>
          </w:tcPr>
          <w:p>
            <w:pPr>
              <w:widowControl/>
              <w:textAlignment w:val="center"/>
              <w:rPr>
                <w:rFonts w:ascii="宋体" w:hAnsi="宋体" w:cs="宋体"/>
                <w:color w:val="000000"/>
                <w:szCs w:val="21"/>
              </w:rPr>
            </w:pPr>
          </w:p>
        </w:tc>
        <w:tc>
          <w:tcPr>
            <w:tcW w:w="936"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w:t>
            </w:r>
          </w:p>
        </w:tc>
      </w:tr>
      <w:tr>
        <w:tblPrEx>
          <w:tblCellMar>
            <w:top w:w="0" w:type="dxa"/>
            <w:left w:w="108" w:type="dxa"/>
            <w:bottom w:w="0" w:type="dxa"/>
            <w:right w:w="108" w:type="dxa"/>
          </w:tblCellMar>
        </w:tblPrEx>
        <w:trPr>
          <w:trHeight w:val="170" w:hRule="atLeast"/>
        </w:trPr>
        <w:tc>
          <w:tcPr>
            <w:tcW w:w="663" w:type="dxa"/>
            <w:gridSpan w:val="2"/>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w:t>
            </w:r>
          </w:p>
        </w:tc>
        <w:tc>
          <w:tcPr>
            <w:tcW w:w="692" w:type="dxa"/>
            <w:gridSpan w:val="2"/>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网络硬盘录像机</w:t>
            </w: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主处理器：工业级微控制器；</w:t>
            </w:r>
          </w:p>
        </w:tc>
        <w:tc>
          <w:tcPr>
            <w:tcW w:w="990"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05"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个</w:t>
            </w:r>
          </w:p>
        </w:tc>
        <w:tc>
          <w:tcPr>
            <w:tcW w:w="1024" w:type="dxa"/>
            <w:vMerge w:val="restart"/>
            <w:tcBorders>
              <w:top w:val="nil"/>
              <w:left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海康，大华，宇视</w:t>
            </w:r>
          </w:p>
        </w:tc>
        <w:tc>
          <w:tcPr>
            <w:tcW w:w="941" w:type="dxa"/>
            <w:vMerge w:val="restart"/>
            <w:tcBorders>
              <w:top w:val="nil"/>
              <w:left w:val="single" w:color="000000" w:sz="8" w:space="0"/>
              <w:right w:val="single" w:color="000000" w:sz="8" w:space="0"/>
            </w:tcBorders>
          </w:tcPr>
          <w:p>
            <w:pPr>
              <w:widowControl/>
              <w:textAlignment w:val="center"/>
              <w:rPr>
                <w:rFonts w:ascii="宋体" w:hAnsi="宋体" w:cs="宋体"/>
                <w:color w:val="000000"/>
                <w:szCs w:val="21"/>
              </w:rPr>
            </w:pPr>
          </w:p>
        </w:tc>
        <w:tc>
          <w:tcPr>
            <w:tcW w:w="936" w:type="dxa"/>
            <w:vMerge w:val="restart"/>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w:t>
            </w: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操作系统：嵌入式 Linux操作系统；</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后智能分析：支持后智能智能动检；</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前智能分析：支持前智能人脸检测、人脸识别、周界防范、智能动检、立体行为分析、人群分布、人数统计、车牌识别；</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周界前智能性能 (路数)：全通道 (最大处理6个事件/秒)；</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人脸识别前智能性能 (路数)：全通道 (最大处理6个事件/秒)；</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接入路数：16路；</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分辨率: 12MP; 8MP; 6MP; 5MP; 4MP; 3MP; 1080p; 720p; 960p; D1; CIF;QCIF;</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解码能力: 不开智能: 1路12MP@25fps; 2路8MP@25fps; 3路6MP@25fps;3路5MP@25fps;4路4MP@25fps;10路1080p@25fps 开智能: 1路12MP@25fps;2路8MP@25fps; 3路6MP@25fps;3路5MP@25fps;4路4MP@25fps;9路1080p@25fps;</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报警输入：4路；</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报警输出：2路；</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硬盘接口: 2个SATA, 单盘最大 20T;</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single" w:color="000000" w:sz="8" w:space="0"/>
              <w:right w:val="single" w:color="000000" w:sz="8" w:space="0"/>
            </w:tcBorders>
            <w:vAlign w:val="center"/>
          </w:tcPr>
          <w:p>
            <w:pPr>
              <w:widowControl/>
              <w:wordWrap w:val="0"/>
              <w:textAlignment w:val="center"/>
              <w:rPr>
                <w:rFonts w:ascii="宋体" w:hAnsi="宋体" w:cs="宋体"/>
                <w:color w:val="000000"/>
                <w:szCs w:val="21"/>
              </w:rPr>
            </w:pPr>
            <w:r>
              <w:rPr>
                <w:rFonts w:hint="eastAsia" w:ascii="宋体" w:hAnsi="宋体" w:cs="宋体"/>
                <w:color w:val="000000"/>
                <w:szCs w:val="21"/>
              </w:rPr>
              <w:t>网络接口: 2个 (10M/100M/1000M以太网口, RJ-45)</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bottom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bottom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w:t>
            </w:r>
          </w:p>
        </w:tc>
        <w:tc>
          <w:tcPr>
            <w:tcW w:w="692" w:type="dxa"/>
            <w:gridSpan w:val="2"/>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硬盘</w:t>
            </w: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单盘容量: 6TB;</w:t>
            </w:r>
          </w:p>
        </w:tc>
        <w:tc>
          <w:tcPr>
            <w:tcW w:w="990"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705"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块</w:t>
            </w:r>
          </w:p>
        </w:tc>
        <w:tc>
          <w:tcPr>
            <w:tcW w:w="1024" w:type="dxa"/>
            <w:vMerge w:val="restart"/>
            <w:tcBorders>
              <w:top w:val="nil"/>
              <w:left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海康，大华，宇视</w:t>
            </w:r>
          </w:p>
        </w:tc>
        <w:tc>
          <w:tcPr>
            <w:tcW w:w="941" w:type="dxa"/>
            <w:vMerge w:val="restart"/>
            <w:tcBorders>
              <w:top w:val="nil"/>
              <w:left w:val="single" w:color="000000" w:sz="8" w:space="0"/>
              <w:right w:val="single" w:color="000000" w:sz="8" w:space="0"/>
            </w:tcBorders>
          </w:tcPr>
          <w:p>
            <w:pPr>
              <w:widowControl/>
              <w:textAlignment w:val="center"/>
              <w:rPr>
                <w:rFonts w:ascii="宋体" w:hAnsi="宋体" w:cs="宋体"/>
                <w:color w:val="000000"/>
                <w:szCs w:val="21"/>
              </w:rPr>
            </w:pPr>
          </w:p>
        </w:tc>
        <w:tc>
          <w:tcPr>
            <w:tcW w:w="936" w:type="dxa"/>
            <w:vMerge w:val="restart"/>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w:t>
            </w: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缓存: 256MB;</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转速: 5400RPM;</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硬盘接口: SATA</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bottom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bottom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w:t>
            </w:r>
          </w:p>
        </w:tc>
        <w:tc>
          <w:tcPr>
            <w:tcW w:w="692" w:type="dxa"/>
            <w:gridSpan w:val="2"/>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电脑</w:t>
            </w:r>
          </w:p>
        </w:tc>
        <w:tc>
          <w:tcPr>
            <w:tcW w:w="3312" w:type="dxa"/>
            <w:tcBorders>
              <w:top w:val="nil"/>
              <w:left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内存容量: 16GB</w:t>
            </w:r>
          </w:p>
          <w:p>
            <w:pPr>
              <w:widowControl/>
              <w:textAlignment w:val="center"/>
              <w:rPr>
                <w:rFonts w:ascii="宋体" w:hAnsi="宋体" w:cs="宋体"/>
                <w:color w:val="000000"/>
                <w:szCs w:val="21"/>
              </w:rPr>
            </w:pPr>
            <w:r>
              <w:rPr>
                <w:rFonts w:hint="eastAsia" w:ascii="宋体" w:hAnsi="宋体" w:cs="宋体"/>
                <w:color w:val="000000"/>
                <w:szCs w:val="21"/>
              </w:rPr>
              <w:t>系统: Windows 11</w:t>
            </w:r>
          </w:p>
          <w:p>
            <w:pPr>
              <w:widowControl/>
              <w:textAlignment w:val="center"/>
              <w:rPr>
                <w:rFonts w:ascii="宋体" w:hAnsi="宋体" w:cs="宋体"/>
                <w:color w:val="000000"/>
                <w:szCs w:val="21"/>
              </w:rPr>
            </w:pPr>
            <w:r>
              <w:rPr>
                <w:rFonts w:hint="eastAsia" w:ascii="宋体" w:hAnsi="宋体" w:cs="宋体"/>
                <w:color w:val="000000"/>
                <w:szCs w:val="21"/>
              </w:rPr>
              <w:t>处理器: inteli5</w:t>
            </w:r>
          </w:p>
          <w:p>
            <w:pPr>
              <w:textAlignment w:val="center"/>
              <w:rPr>
                <w:rFonts w:ascii="宋体" w:hAnsi="宋体" w:cs="宋体"/>
                <w:color w:val="000000"/>
                <w:szCs w:val="21"/>
              </w:rPr>
            </w:pPr>
            <w:r>
              <w:rPr>
                <w:rFonts w:hint="eastAsia" w:ascii="宋体" w:hAnsi="宋体" w:cs="宋体"/>
                <w:color w:val="000000"/>
                <w:szCs w:val="21"/>
              </w:rPr>
              <w:t>硬盘容量: 512GB SSD</w:t>
            </w:r>
          </w:p>
        </w:tc>
        <w:tc>
          <w:tcPr>
            <w:tcW w:w="990"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05"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1024" w:type="dxa"/>
            <w:vMerge w:val="restart"/>
            <w:tcBorders>
              <w:top w:val="nil"/>
              <w:left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国产优质</w:t>
            </w:r>
          </w:p>
        </w:tc>
        <w:tc>
          <w:tcPr>
            <w:tcW w:w="941" w:type="dxa"/>
            <w:vMerge w:val="restart"/>
            <w:tcBorders>
              <w:top w:val="nil"/>
              <w:left w:val="single" w:color="000000" w:sz="8" w:space="0"/>
              <w:right w:val="single" w:color="000000" w:sz="8" w:space="0"/>
            </w:tcBorders>
          </w:tcPr>
          <w:p>
            <w:pPr>
              <w:widowControl/>
              <w:jc w:val="center"/>
              <w:textAlignment w:val="center"/>
              <w:rPr>
                <w:rFonts w:ascii="宋体" w:hAnsi="宋体" w:cs="宋体"/>
                <w:color w:val="000000"/>
                <w:szCs w:val="21"/>
              </w:rPr>
            </w:pPr>
          </w:p>
        </w:tc>
        <w:tc>
          <w:tcPr>
            <w:tcW w:w="936"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屏幕尺寸：23.8英寸显示器</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显卡型号：独显</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支持IPv6: 支持IPv6</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bottom w:val="single" w:color="000000" w:sz="8" w:space="0"/>
              <w:right w:val="single" w:color="000000" w:sz="8" w:space="0"/>
            </w:tcBorders>
          </w:tcPr>
          <w:p>
            <w:pPr>
              <w:jc w:val="center"/>
              <w:rPr>
                <w:rFonts w:ascii="宋体" w:hAnsi="宋体" w:cs="宋体"/>
                <w:color w:val="000000"/>
                <w:szCs w:val="21"/>
              </w:rPr>
            </w:pPr>
          </w:p>
        </w:tc>
        <w:tc>
          <w:tcPr>
            <w:tcW w:w="941" w:type="dxa"/>
            <w:vMerge w:val="continue"/>
            <w:tcBorders>
              <w:left w:val="single" w:color="000000" w:sz="8" w:space="0"/>
              <w:bottom w:val="single" w:color="000000" w:sz="8" w:space="0"/>
              <w:right w:val="single" w:color="000000" w:sz="8" w:space="0"/>
            </w:tcBorders>
          </w:tcPr>
          <w:p>
            <w:pPr>
              <w:jc w:val="cente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p>
        </w:tc>
        <w:tc>
          <w:tcPr>
            <w:tcW w:w="692" w:type="dxa"/>
            <w:gridSpan w:val="2"/>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交换机</w:t>
            </w: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下行接口类型：以太网交换机</w:t>
            </w:r>
          </w:p>
        </w:tc>
        <w:tc>
          <w:tcPr>
            <w:tcW w:w="990"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05"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1024" w:type="dxa"/>
            <w:vMerge w:val="restart"/>
            <w:tcBorders>
              <w:top w:val="nil"/>
              <w:left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华为，华三，锐捷</w:t>
            </w:r>
          </w:p>
        </w:tc>
        <w:tc>
          <w:tcPr>
            <w:tcW w:w="941" w:type="dxa"/>
            <w:vMerge w:val="restart"/>
            <w:tcBorders>
              <w:top w:val="nil"/>
              <w:left w:val="single" w:color="000000" w:sz="8" w:space="0"/>
              <w:right w:val="single" w:color="000000" w:sz="8" w:space="0"/>
            </w:tcBorders>
          </w:tcPr>
          <w:p>
            <w:pPr>
              <w:widowControl/>
              <w:textAlignment w:val="center"/>
              <w:rPr>
                <w:rFonts w:ascii="宋体" w:hAnsi="宋体" w:cs="宋体"/>
                <w:color w:val="000000"/>
                <w:szCs w:val="21"/>
              </w:rPr>
            </w:pPr>
          </w:p>
        </w:tc>
        <w:tc>
          <w:tcPr>
            <w:tcW w:w="936" w:type="dxa"/>
            <w:vMerge w:val="restart"/>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24"/>
              </w:rPr>
            </w:pPr>
            <w:r>
              <w:rPr>
                <w:rFonts w:hint="eastAsia" w:ascii="宋体" w:hAnsi="宋体" w:cs="宋体"/>
                <w:color w:val="000000"/>
                <w:sz w:val="24"/>
              </w:rPr>
              <w:t xml:space="preserve"> </w:t>
            </w: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上行端口速率：千兆</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网管类型：网管</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下行端口速率：千兆</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规格：桌面式交换机</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端口数量：16 口</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端口类型：电口</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70" w:hRule="atLeast"/>
        </w:trPr>
        <w:tc>
          <w:tcPr>
            <w:tcW w:w="663"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92" w:type="dxa"/>
            <w:gridSpan w:val="2"/>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3312"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端口供电功能：POE 供电</w:t>
            </w:r>
          </w:p>
        </w:tc>
        <w:tc>
          <w:tcPr>
            <w:tcW w:w="990"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705"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1024" w:type="dxa"/>
            <w:vMerge w:val="continue"/>
            <w:tcBorders>
              <w:left w:val="single" w:color="000000" w:sz="8" w:space="0"/>
              <w:bottom w:val="single" w:color="000000" w:sz="8" w:space="0"/>
              <w:right w:val="single" w:color="000000" w:sz="8" w:space="0"/>
            </w:tcBorders>
          </w:tcPr>
          <w:p>
            <w:pPr>
              <w:rPr>
                <w:rFonts w:ascii="宋体" w:hAnsi="宋体" w:cs="宋体"/>
                <w:color w:val="000000"/>
                <w:szCs w:val="21"/>
              </w:rPr>
            </w:pPr>
          </w:p>
        </w:tc>
        <w:tc>
          <w:tcPr>
            <w:tcW w:w="941" w:type="dxa"/>
            <w:vMerge w:val="continue"/>
            <w:tcBorders>
              <w:left w:val="single" w:color="000000" w:sz="8" w:space="0"/>
              <w:bottom w:val="single" w:color="000000" w:sz="8" w:space="0"/>
              <w:right w:val="single" w:color="000000" w:sz="8" w:space="0"/>
            </w:tcBorders>
          </w:tcPr>
          <w:p>
            <w:pPr>
              <w:rPr>
                <w:rFonts w:ascii="宋体" w:hAnsi="宋体" w:cs="宋体"/>
                <w:color w:val="000000"/>
                <w:szCs w:val="21"/>
              </w:rPr>
            </w:pPr>
          </w:p>
        </w:tc>
        <w:tc>
          <w:tcPr>
            <w:tcW w:w="936"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614" w:hRule="atLeast"/>
        </w:trPr>
        <w:tc>
          <w:tcPr>
            <w:tcW w:w="663"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8</w:t>
            </w:r>
          </w:p>
        </w:tc>
        <w:tc>
          <w:tcPr>
            <w:tcW w:w="692"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机柜</w:t>
            </w:r>
          </w:p>
        </w:tc>
        <w:tc>
          <w:tcPr>
            <w:tcW w:w="3312"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容量:42U</w:t>
            </w:r>
          </w:p>
        </w:tc>
        <w:tc>
          <w:tcPr>
            <w:tcW w:w="9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1024"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 xml:space="preserve"> 国产优质</w:t>
            </w:r>
          </w:p>
        </w:tc>
        <w:tc>
          <w:tcPr>
            <w:tcW w:w="941" w:type="dxa"/>
            <w:tcBorders>
              <w:top w:val="nil"/>
              <w:left w:val="single" w:color="000000" w:sz="8" w:space="0"/>
              <w:bottom w:val="single" w:color="000000" w:sz="8" w:space="0"/>
              <w:right w:val="single" w:color="000000" w:sz="8" w:space="0"/>
            </w:tcBorders>
          </w:tcPr>
          <w:p>
            <w:pPr>
              <w:widowControl/>
              <w:textAlignment w:val="center"/>
              <w:rPr>
                <w:rFonts w:ascii="宋体" w:hAnsi="宋体" w:cs="宋体"/>
                <w:color w:val="000000"/>
                <w:szCs w:val="21"/>
              </w:rPr>
            </w:pPr>
          </w:p>
        </w:tc>
        <w:tc>
          <w:tcPr>
            <w:tcW w:w="936"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24"/>
              </w:rPr>
            </w:pPr>
          </w:p>
        </w:tc>
      </w:tr>
      <w:tr>
        <w:tblPrEx>
          <w:tblCellMar>
            <w:top w:w="0" w:type="dxa"/>
            <w:left w:w="108" w:type="dxa"/>
            <w:bottom w:w="0" w:type="dxa"/>
            <w:right w:w="108" w:type="dxa"/>
          </w:tblCellMar>
        </w:tblPrEx>
        <w:trPr>
          <w:trHeight w:val="614" w:hRule="atLeast"/>
        </w:trPr>
        <w:tc>
          <w:tcPr>
            <w:tcW w:w="663"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w:t>
            </w:r>
          </w:p>
        </w:tc>
        <w:tc>
          <w:tcPr>
            <w:tcW w:w="692"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网线</w:t>
            </w:r>
          </w:p>
        </w:tc>
        <w:tc>
          <w:tcPr>
            <w:tcW w:w="3312"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超五类网线</w:t>
            </w:r>
          </w:p>
        </w:tc>
        <w:tc>
          <w:tcPr>
            <w:tcW w:w="9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箱</w:t>
            </w:r>
          </w:p>
        </w:tc>
        <w:tc>
          <w:tcPr>
            <w:tcW w:w="1024"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 xml:space="preserve"> 国产优质</w:t>
            </w:r>
          </w:p>
        </w:tc>
        <w:tc>
          <w:tcPr>
            <w:tcW w:w="941" w:type="dxa"/>
            <w:tcBorders>
              <w:top w:val="nil"/>
              <w:left w:val="single" w:color="000000" w:sz="8" w:space="0"/>
              <w:bottom w:val="single" w:color="000000" w:sz="8" w:space="0"/>
              <w:right w:val="single" w:color="000000" w:sz="8" w:space="0"/>
            </w:tcBorders>
          </w:tcPr>
          <w:p>
            <w:pPr>
              <w:widowControl/>
              <w:textAlignment w:val="center"/>
              <w:rPr>
                <w:rFonts w:ascii="宋体" w:hAnsi="宋体" w:cs="宋体"/>
                <w:color w:val="000000"/>
                <w:szCs w:val="21"/>
              </w:rPr>
            </w:pPr>
          </w:p>
        </w:tc>
        <w:tc>
          <w:tcPr>
            <w:tcW w:w="936"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24"/>
              </w:rPr>
            </w:pPr>
          </w:p>
        </w:tc>
      </w:tr>
      <w:tr>
        <w:tblPrEx>
          <w:tblCellMar>
            <w:top w:w="0" w:type="dxa"/>
            <w:left w:w="108" w:type="dxa"/>
            <w:bottom w:w="0" w:type="dxa"/>
            <w:right w:w="108" w:type="dxa"/>
          </w:tblCellMar>
        </w:tblPrEx>
        <w:trPr>
          <w:trHeight w:val="614" w:hRule="atLeast"/>
        </w:trPr>
        <w:tc>
          <w:tcPr>
            <w:tcW w:w="663"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w:t>
            </w:r>
          </w:p>
        </w:tc>
        <w:tc>
          <w:tcPr>
            <w:tcW w:w="692" w:type="dxa"/>
            <w:gridSpan w:val="2"/>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辅材</w:t>
            </w:r>
          </w:p>
        </w:tc>
        <w:tc>
          <w:tcPr>
            <w:tcW w:w="3312"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 xml:space="preserve"> </w:t>
            </w:r>
          </w:p>
        </w:tc>
        <w:tc>
          <w:tcPr>
            <w:tcW w:w="9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批</w:t>
            </w:r>
          </w:p>
        </w:tc>
        <w:tc>
          <w:tcPr>
            <w:tcW w:w="1024"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 xml:space="preserve"> 国产优质</w:t>
            </w:r>
          </w:p>
        </w:tc>
        <w:tc>
          <w:tcPr>
            <w:tcW w:w="941" w:type="dxa"/>
            <w:tcBorders>
              <w:top w:val="nil"/>
              <w:left w:val="single" w:color="000000" w:sz="8" w:space="0"/>
              <w:bottom w:val="single" w:color="000000" w:sz="8" w:space="0"/>
              <w:right w:val="single" w:color="000000" w:sz="8" w:space="0"/>
            </w:tcBorders>
          </w:tcPr>
          <w:p>
            <w:pPr>
              <w:widowControl/>
              <w:textAlignment w:val="center"/>
              <w:rPr>
                <w:rFonts w:ascii="宋体" w:hAnsi="宋体" w:cs="宋体"/>
                <w:color w:val="000000"/>
                <w:szCs w:val="21"/>
              </w:rPr>
            </w:pPr>
          </w:p>
        </w:tc>
        <w:tc>
          <w:tcPr>
            <w:tcW w:w="936"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24"/>
              </w:rPr>
            </w:pPr>
          </w:p>
        </w:tc>
      </w:tr>
      <w:tr>
        <w:tblPrEx>
          <w:tblCellMar>
            <w:top w:w="0" w:type="dxa"/>
            <w:left w:w="108" w:type="dxa"/>
            <w:bottom w:w="0" w:type="dxa"/>
            <w:right w:w="108" w:type="dxa"/>
          </w:tblCellMar>
        </w:tblPrEx>
        <w:trPr>
          <w:trHeight w:val="633" w:hRule="atLeast"/>
        </w:trPr>
        <w:tc>
          <w:tcPr>
            <w:tcW w:w="9263" w:type="dxa"/>
            <w:gridSpan w:val="10"/>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24"/>
              </w:rPr>
            </w:pPr>
            <w:r>
              <w:rPr>
                <w:rFonts w:ascii="宋体" w:hAnsi="宋体" w:cs="宋体"/>
                <w:b/>
                <w:bCs/>
                <w:color w:val="000000"/>
                <w:sz w:val="24"/>
              </w:rPr>
              <w:t>合计：大写：</w:t>
            </w:r>
            <w:r>
              <w:rPr>
                <w:rFonts w:hint="eastAsia" w:ascii="宋体" w:hAnsi="宋体" w:cs="宋体"/>
                <w:b/>
                <w:bCs/>
                <w:color w:val="000000"/>
                <w:sz w:val="24"/>
              </w:rPr>
              <w:t xml:space="preserve">    </w:t>
            </w:r>
            <w:r>
              <w:rPr>
                <w:rFonts w:hint="eastAsia" w:ascii="宋体" w:hAnsi="宋体" w:cs="宋体"/>
                <w:b/>
                <w:bCs/>
                <w:color w:val="000000"/>
                <w:sz w:val="24"/>
                <w:lang w:val="en-US" w:eastAsia="zh-CN"/>
              </w:rPr>
              <w:t xml:space="preserve">        </w:t>
            </w:r>
            <w:r>
              <w:rPr>
                <w:rFonts w:hint="eastAsia" w:ascii="宋体" w:hAnsi="宋体" w:cs="宋体"/>
                <w:b/>
                <w:bCs/>
                <w:color w:val="000000"/>
                <w:sz w:val="24"/>
              </w:rPr>
              <w:t xml:space="preserve">   小写：  </w:t>
            </w:r>
            <w:r>
              <w:rPr>
                <w:rFonts w:hint="eastAsia" w:ascii="宋体" w:hAnsi="宋体" w:cs="宋体"/>
                <w:b/>
                <w:bCs/>
                <w:color w:val="000000"/>
                <w:sz w:val="24"/>
                <w:lang w:val="en-US" w:eastAsia="zh-CN"/>
              </w:rPr>
              <w:t xml:space="preserve">     </w:t>
            </w:r>
            <w:r>
              <w:rPr>
                <w:rFonts w:hint="eastAsia" w:ascii="宋体" w:hAnsi="宋体" w:cs="宋体"/>
                <w:b/>
                <w:bCs/>
                <w:color w:val="000000"/>
                <w:sz w:val="24"/>
              </w:rPr>
              <w:t xml:space="preserve">    元</w:t>
            </w:r>
          </w:p>
        </w:tc>
      </w:tr>
    </w:tbl>
    <w:p>
      <w:pPr>
        <w:pStyle w:val="9"/>
        <w:rPr>
          <w:rFonts w:cs="仿宋_GB2312" w:asciiTheme="minorEastAsia" w:hAnsiTheme="minorEastAsia" w:eastAsiaTheme="minorEastAsia"/>
          <w:bCs/>
          <w:sz w:val="24"/>
          <w:szCs w:val="24"/>
        </w:rPr>
      </w:pPr>
      <w:r>
        <w:rPr>
          <w:rFonts w:hint="eastAsia" w:cs="仿宋_GB2312"/>
          <w:bCs/>
          <w:sz w:val="28"/>
          <w:szCs w:val="28"/>
        </w:rPr>
        <w:t xml:space="preserve">  </w:t>
      </w:r>
      <w:r>
        <w:rPr>
          <w:rFonts w:hint="eastAsia" w:cs="仿宋" w:asciiTheme="minorEastAsia" w:hAnsiTheme="minorEastAsia" w:eastAsiaTheme="minorEastAsia"/>
          <w:b/>
          <w:bCs/>
          <w:sz w:val="24"/>
          <w:szCs w:val="24"/>
        </w:rPr>
        <w:t>（此报价为本项目的最终报价，最终报价包含本项目所有费用）</w:t>
      </w:r>
    </w:p>
    <w:p>
      <w:pPr>
        <w:adjustRightInd w:val="0"/>
        <w:snapToGrid w:val="0"/>
        <w:spacing w:line="360" w:lineRule="auto"/>
        <w:ind w:firstLine="480" w:firstLineChars="200"/>
        <w:jc w:val="left"/>
        <w:rPr>
          <w:rFonts w:ascii="仿宋" w:hAnsi="仿宋" w:eastAsia="仿宋" w:cs="仿宋"/>
          <w:sz w:val="24"/>
        </w:rPr>
      </w:pPr>
      <w:r>
        <w:rPr>
          <w:rFonts w:hint="eastAsia" w:cs="仿宋" w:asciiTheme="minorEastAsia" w:hAnsiTheme="minorEastAsia" w:eastAsiaTheme="minorEastAsia"/>
          <w:b/>
          <w:sz w:val="24"/>
          <w:lang w:val="zh-CN"/>
        </w:rPr>
        <w:t>注： 1.本项目一次性报价，报价中含采购等所发生的各种费用，本次报价包括全部货物和服务所发生的费用，包括但不限于全部货物及辅材的提供、产品制造、质保期内易损件、备品备件、材料、辅材及产品运输、装卸、搬运、保管、检验、包装、运输保险费、调试费、技术服务支持、保修期内维保服务等相关费用、利润、税金、验收费、全部产品通过验收并交付使用及保修等一切费用，以及供应商认为需要的其他费用等。供应商报价时应充分考虑现场环境以及国家政策性调整等风险因素，在合同实施期间，供应商所报的单价在合同实施期间不因市场变化因素而变动，最终根据实际采购数量按固定单价结算</w:t>
      </w:r>
    </w:p>
    <w:p>
      <w:pPr>
        <w:adjustRightInd w:val="0"/>
        <w:snapToGrid w:val="0"/>
        <w:spacing w:line="360" w:lineRule="auto"/>
        <w:ind w:firstLine="3360" w:firstLineChars="1400"/>
        <w:jc w:val="left"/>
        <w:rPr>
          <w:rFonts w:ascii="仿宋" w:hAnsi="仿宋" w:eastAsia="仿宋" w:cs="仿宋"/>
          <w:sz w:val="24"/>
        </w:rPr>
      </w:pPr>
    </w:p>
    <w:p>
      <w:pPr>
        <w:adjustRightInd w:val="0"/>
        <w:snapToGrid w:val="0"/>
        <w:spacing w:line="360" w:lineRule="auto"/>
        <w:ind w:firstLine="3360" w:firstLineChars="1400"/>
        <w:jc w:val="left"/>
        <w:rPr>
          <w:rFonts w:ascii="仿宋" w:hAnsi="仿宋" w:eastAsia="仿宋" w:cs="仿宋"/>
          <w:sz w:val="24"/>
        </w:rPr>
      </w:pPr>
    </w:p>
    <w:p>
      <w:pPr>
        <w:adjustRightInd w:val="0"/>
        <w:snapToGrid w:val="0"/>
        <w:spacing w:line="360" w:lineRule="auto"/>
        <w:ind w:firstLine="3360" w:firstLineChars="1400"/>
        <w:jc w:val="left"/>
        <w:rPr>
          <w:rFonts w:cs="仿宋" w:asciiTheme="minorEastAsia" w:hAnsiTheme="minorEastAsia" w:eastAsiaTheme="minorEastAsia"/>
          <w:b/>
          <w:bCs/>
          <w:sz w:val="24"/>
          <w:u w:val="single"/>
        </w:rPr>
      </w:pPr>
      <w:r>
        <w:rPr>
          <w:rFonts w:hint="eastAsia" w:cs="仿宋" w:asciiTheme="minorEastAsia" w:hAnsiTheme="minorEastAsia" w:eastAsiaTheme="minorEastAsia"/>
          <w:sz w:val="24"/>
        </w:rPr>
        <w:t>供应商（盖公章）：</w:t>
      </w:r>
    </w:p>
    <w:p>
      <w:pPr>
        <w:adjustRightInd w:val="0"/>
        <w:snapToGrid w:val="0"/>
        <w:spacing w:line="360" w:lineRule="auto"/>
        <w:ind w:firstLine="3360" w:firstLineChars="14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法定代表人或被授权人（签字或盖章）： </w:t>
      </w:r>
    </w:p>
    <w:p>
      <w:pPr>
        <w:adjustRightInd w:val="0"/>
        <w:snapToGrid w:val="0"/>
        <w:spacing w:line="360" w:lineRule="auto"/>
        <w:ind w:firstLine="3360" w:firstLineChars="1400"/>
        <w:jc w:val="left"/>
        <w:rPr>
          <w:rFonts w:cs="仿宋" w:asciiTheme="minorEastAsia" w:hAnsiTheme="minorEastAsia" w:eastAsiaTheme="minorEastAsia"/>
          <w:sz w:val="24"/>
        </w:rPr>
      </w:pPr>
      <w:r>
        <w:rPr>
          <w:rFonts w:hint="eastAsia" w:cs="仿宋" w:asciiTheme="minorEastAsia" w:hAnsiTheme="minorEastAsia" w:eastAsiaTheme="minorEastAsia"/>
          <w:sz w:val="24"/>
        </w:rPr>
        <w:t>日期：   年   月    日</w:t>
      </w:r>
    </w:p>
    <w:p>
      <w:pPr>
        <w:rPr>
          <w:rFonts w:ascii="仿宋" w:hAnsi="仿宋" w:eastAsia="仿宋" w:cs="仿宋"/>
          <w:bCs/>
          <w:sz w:val="32"/>
          <w:szCs w:val="32"/>
        </w:rPr>
      </w:pPr>
      <w:r>
        <w:rPr>
          <w:rFonts w:hint="eastAsia" w:ascii="仿宋" w:hAnsi="仿宋" w:eastAsia="仿宋" w:cs="仿宋"/>
          <w:b/>
          <w:bCs/>
          <w:sz w:val="24"/>
        </w:rPr>
        <w:br w:type="page"/>
      </w:r>
    </w:p>
    <w:p>
      <w:pPr>
        <w:rPr>
          <w:rFonts w:ascii="仿宋" w:hAnsi="仿宋" w:eastAsia="仿宋" w:cs="仿宋"/>
          <w:sz w:val="32"/>
          <w:szCs w:val="32"/>
        </w:rPr>
      </w:pPr>
      <w:r>
        <w:rPr>
          <w:rFonts w:hint="eastAsia" w:ascii="仿宋" w:hAnsi="仿宋" w:eastAsia="仿宋" w:cs="仿宋"/>
          <w:bCs/>
          <w:sz w:val="32"/>
          <w:szCs w:val="32"/>
        </w:rPr>
        <w:t>附件6</w:t>
      </w:r>
    </w:p>
    <w:p>
      <w:pPr>
        <w:jc w:val="center"/>
        <w:rPr>
          <w:rFonts w:ascii="仿宋" w:hAnsi="仿宋" w:eastAsia="仿宋" w:cs="仿宋"/>
          <w:bCs/>
          <w:sz w:val="36"/>
          <w:szCs w:val="36"/>
        </w:rPr>
      </w:pPr>
      <w:r>
        <w:rPr>
          <w:rFonts w:hint="eastAsia" w:ascii="仿宋" w:hAnsi="仿宋" w:eastAsia="仿宋" w:cs="仿宋"/>
          <w:bCs/>
          <w:sz w:val="36"/>
          <w:szCs w:val="36"/>
        </w:rPr>
        <w:t>质疑函范本</w:t>
      </w:r>
    </w:p>
    <w:p>
      <w:pPr>
        <w:adjustRightInd w:val="0"/>
        <w:snapToGrid w:val="0"/>
        <w:spacing w:beforeLines="100" w:line="312" w:lineRule="auto"/>
        <w:rPr>
          <w:rFonts w:ascii="仿宋" w:hAnsi="仿宋" w:eastAsia="仿宋" w:cs="仿宋"/>
          <w:bCs/>
          <w:sz w:val="28"/>
          <w:szCs w:val="28"/>
        </w:rPr>
      </w:pPr>
      <w:r>
        <w:rPr>
          <w:rFonts w:hint="eastAsia" w:ascii="仿宋" w:hAnsi="仿宋" w:eastAsia="仿宋" w:cs="仿宋"/>
          <w:bCs/>
          <w:sz w:val="28"/>
          <w:szCs w:val="28"/>
        </w:rPr>
        <w:t>一、质疑供应商基本信息</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质疑供应商：</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联系人：联系电话：</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授权代表：</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联系电话：</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312" w:lineRule="auto"/>
        <w:rPr>
          <w:rFonts w:ascii="仿宋" w:hAnsi="仿宋" w:eastAsia="仿宋" w:cs="仿宋"/>
          <w:bCs/>
          <w:sz w:val="28"/>
          <w:szCs w:val="28"/>
        </w:rPr>
      </w:pPr>
      <w:r>
        <w:rPr>
          <w:rFonts w:hint="eastAsia" w:ascii="仿宋" w:hAnsi="仿宋" w:eastAsia="仿宋" w:cs="仿宋"/>
          <w:bCs/>
          <w:sz w:val="28"/>
          <w:szCs w:val="28"/>
        </w:rPr>
        <w:t>二、质疑项目基本情况</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质疑项目的名称：</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质疑项目的编号：包号：</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采购人名称：</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采购文件获取日期：</w:t>
      </w:r>
    </w:p>
    <w:p>
      <w:pPr>
        <w:adjustRightInd w:val="0"/>
        <w:snapToGrid w:val="0"/>
        <w:spacing w:line="312" w:lineRule="auto"/>
        <w:rPr>
          <w:rFonts w:ascii="仿宋" w:hAnsi="仿宋" w:eastAsia="仿宋" w:cs="仿宋"/>
          <w:bCs/>
          <w:sz w:val="28"/>
          <w:szCs w:val="28"/>
        </w:rPr>
      </w:pPr>
      <w:r>
        <w:rPr>
          <w:rFonts w:hint="eastAsia" w:ascii="仿宋" w:hAnsi="仿宋" w:eastAsia="仿宋" w:cs="仿宋"/>
          <w:bCs/>
          <w:sz w:val="28"/>
          <w:szCs w:val="28"/>
        </w:rPr>
        <w:t>三、质疑事项具体内容</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质疑事项1：</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事实依据：</w:t>
      </w:r>
    </w:p>
    <w:p>
      <w:pPr>
        <w:adjustRightInd w:val="0"/>
        <w:snapToGrid w:val="0"/>
        <w:spacing w:line="312" w:lineRule="auto"/>
        <w:rPr>
          <w:rFonts w:ascii="仿宋" w:hAnsi="仿宋" w:eastAsia="仿宋" w:cs="仿宋"/>
          <w:sz w:val="28"/>
          <w:szCs w:val="28"/>
        </w:rPr>
      </w:pP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法律依据：</w:t>
      </w:r>
    </w:p>
    <w:p>
      <w:pPr>
        <w:adjustRightInd w:val="0"/>
        <w:snapToGrid w:val="0"/>
        <w:spacing w:line="312" w:lineRule="auto"/>
        <w:rPr>
          <w:rFonts w:ascii="仿宋" w:hAnsi="仿宋" w:eastAsia="仿宋" w:cs="仿宋"/>
          <w:sz w:val="28"/>
          <w:szCs w:val="28"/>
          <w:u w:val="dotted"/>
        </w:rPr>
      </w:pP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质疑事项2</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w:t>
      </w:r>
    </w:p>
    <w:p>
      <w:pPr>
        <w:adjustRightInd w:val="0"/>
        <w:snapToGrid w:val="0"/>
        <w:spacing w:line="312" w:lineRule="auto"/>
        <w:rPr>
          <w:rFonts w:ascii="仿宋" w:hAnsi="仿宋" w:eastAsia="仿宋" w:cs="仿宋"/>
          <w:bCs/>
          <w:sz w:val="28"/>
          <w:szCs w:val="28"/>
        </w:rPr>
      </w:pPr>
      <w:r>
        <w:rPr>
          <w:rFonts w:hint="eastAsia" w:ascii="仿宋" w:hAnsi="仿宋" w:eastAsia="仿宋" w:cs="仿宋"/>
          <w:bCs/>
          <w:sz w:val="28"/>
          <w:szCs w:val="28"/>
        </w:rPr>
        <w:t>四、与质疑事项相关的质疑请求</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请求：</w:t>
      </w:r>
    </w:p>
    <w:p>
      <w:pPr>
        <w:spacing w:line="312" w:lineRule="auto"/>
        <w:rPr>
          <w:rFonts w:ascii="仿宋" w:hAnsi="仿宋" w:eastAsia="仿宋" w:cs="仿宋"/>
          <w:sz w:val="28"/>
          <w:szCs w:val="28"/>
        </w:rPr>
      </w:pPr>
      <w:r>
        <w:rPr>
          <w:rFonts w:hint="eastAsia" w:ascii="仿宋" w:hAnsi="仿宋" w:eastAsia="仿宋" w:cs="仿宋"/>
          <w:sz w:val="28"/>
          <w:szCs w:val="28"/>
        </w:rPr>
        <w:t xml:space="preserve">签字(签章)：                   公章：                      </w:t>
      </w:r>
    </w:p>
    <w:p>
      <w:pPr>
        <w:spacing w:line="312" w:lineRule="auto"/>
        <w:rPr>
          <w:rFonts w:ascii="仿宋" w:hAnsi="仿宋" w:eastAsia="仿宋" w:cs="仿宋"/>
          <w:sz w:val="28"/>
          <w:szCs w:val="28"/>
        </w:rPr>
      </w:pPr>
      <w:r>
        <w:rPr>
          <w:rFonts w:hint="eastAsia" w:ascii="仿宋" w:hAnsi="仿宋" w:eastAsia="仿宋" w:cs="仿宋"/>
          <w:sz w:val="28"/>
          <w:szCs w:val="28"/>
        </w:rPr>
        <w:t xml:space="preserve">日期：    </w:t>
      </w:r>
    </w:p>
    <w:p>
      <w:pPr>
        <w:adjustRightInd w:val="0"/>
        <w:snapToGrid w:val="0"/>
        <w:spacing w:line="288" w:lineRule="auto"/>
        <w:rPr>
          <w:rFonts w:ascii="仿宋" w:hAnsi="仿宋" w:eastAsia="仿宋" w:cs="仿宋"/>
          <w:sz w:val="28"/>
          <w:szCs w:val="28"/>
        </w:rPr>
      </w:pPr>
    </w:p>
    <w:p>
      <w:pPr>
        <w:rPr>
          <w:rFonts w:ascii="仿宋" w:hAnsi="仿宋" w:eastAsia="仿宋" w:cs="仿宋"/>
          <w:b/>
          <w:sz w:val="28"/>
          <w:szCs w:val="28"/>
        </w:rPr>
      </w:pPr>
      <w:r>
        <w:rPr>
          <w:rFonts w:hint="eastAsia" w:ascii="仿宋" w:hAnsi="仿宋" w:eastAsia="仿宋" w:cs="仿宋"/>
          <w:b/>
          <w:sz w:val="28"/>
          <w:szCs w:val="28"/>
        </w:rPr>
        <w:t>质疑函制作说明：</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rPr>
          <w:rFonts w:ascii="仿宋" w:hAnsi="仿宋" w:eastAsia="仿宋" w:cs="仿宋"/>
        </w:rPr>
      </w:pPr>
    </w:p>
    <w:sectPr>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Times New Roman" w:hAnsi="Times New Roman"/>
        <w:sz w:val="28"/>
        <w:szCs w:val="28"/>
      </w:rPr>
    </w:pPr>
    <w:r>
      <w:rPr>
        <w:sz w:val="28"/>
      </w:rPr>
      <w:pict>
        <v:shape id="文本框 1029"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17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1028"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18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1EB6F40C"/>
    <w:multiLevelType w:val="singleLevel"/>
    <w:tmpl w:val="1EB6F40C"/>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5MGMwYWU0MTQ5MjNjMjk5ZTFhM2U5ZTZmNzRkYWYifQ=="/>
  </w:docVars>
  <w:rsids>
    <w:rsidRoot w:val="72DA44FF"/>
    <w:rsid w:val="00002B9A"/>
    <w:rsid w:val="000031BB"/>
    <w:rsid w:val="00004A7C"/>
    <w:rsid w:val="000120F6"/>
    <w:rsid w:val="00013AEC"/>
    <w:rsid w:val="00030B5D"/>
    <w:rsid w:val="00030D94"/>
    <w:rsid w:val="00034E5F"/>
    <w:rsid w:val="00040DB8"/>
    <w:rsid w:val="00041DEE"/>
    <w:rsid w:val="000438A5"/>
    <w:rsid w:val="0004429C"/>
    <w:rsid w:val="0005603F"/>
    <w:rsid w:val="000634C9"/>
    <w:rsid w:val="0007437B"/>
    <w:rsid w:val="00090B25"/>
    <w:rsid w:val="00093FAB"/>
    <w:rsid w:val="000971F5"/>
    <w:rsid w:val="000A59DE"/>
    <w:rsid w:val="000A7995"/>
    <w:rsid w:val="000B0D5B"/>
    <w:rsid w:val="000B37FA"/>
    <w:rsid w:val="000C1502"/>
    <w:rsid w:val="000C2B3D"/>
    <w:rsid w:val="000C59DE"/>
    <w:rsid w:val="000D23CC"/>
    <w:rsid w:val="000D78C4"/>
    <w:rsid w:val="000E0813"/>
    <w:rsid w:val="000F24EA"/>
    <w:rsid w:val="000F509F"/>
    <w:rsid w:val="000F5F73"/>
    <w:rsid w:val="00102AD3"/>
    <w:rsid w:val="00103299"/>
    <w:rsid w:val="0010353F"/>
    <w:rsid w:val="00104A30"/>
    <w:rsid w:val="00104F7B"/>
    <w:rsid w:val="00106C4E"/>
    <w:rsid w:val="001125F2"/>
    <w:rsid w:val="00116193"/>
    <w:rsid w:val="00123BCF"/>
    <w:rsid w:val="0014136A"/>
    <w:rsid w:val="00151A61"/>
    <w:rsid w:val="0015779C"/>
    <w:rsid w:val="0016617E"/>
    <w:rsid w:val="0016691E"/>
    <w:rsid w:val="00177C0D"/>
    <w:rsid w:val="001C6A69"/>
    <w:rsid w:val="001D01A7"/>
    <w:rsid w:val="001D1000"/>
    <w:rsid w:val="001D4F48"/>
    <w:rsid w:val="001D5FB4"/>
    <w:rsid w:val="001E0D3F"/>
    <w:rsid w:val="001F00DA"/>
    <w:rsid w:val="001F141B"/>
    <w:rsid w:val="001F3BB0"/>
    <w:rsid w:val="001F5557"/>
    <w:rsid w:val="00203E2B"/>
    <w:rsid w:val="00205D51"/>
    <w:rsid w:val="002079D7"/>
    <w:rsid w:val="00210BA2"/>
    <w:rsid w:val="00217FBF"/>
    <w:rsid w:val="00220CA8"/>
    <w:rsid w:val="00227791"/>
    <w:rsid w:val="00230F17"/>
    <w:rsid w:val="00236474"/>
    <w:rsid w:val="002378FE"/>
    <w:rsid w:val="00241ACF"/>
    <w:rsid w:val="00244DEB"/>
    <w:rsid w:val="002476E2"/>
    <w:rsid w:val="002500D3"/>
    <w:rsid w:val="0025197B"/>
    <w:rsid w:val="0025265F"/>
    <w:rsid w:val="00255140"/>
    <w:rsid w:val="002840B5"/>
    <w:rsid w:val="00286C87"/>
    <w:rsid w:val="002B613D"/>
    <w:rsid w:val="002C0F03"/>
    <w:rsid w:val="002C4C22"/>
    <w:rsid w:val="002D0EF0"/>
    <w:rsid w:val="002D5236"/>
    <w:rsid w:val="002F1C6F"/>
    <w:rsid w:val="003037A3"/>
    <w:rsid w:val="00310D5F"/>
    <w:rsid w:val="003121C2"/>
    <w:rsid w:val="00315121"/>
    <w:rsid w:val="0032059C"/>
    <w:rsid w:val="00326747"/>
    <w:rsid w:val="00331D51"/>
    <w:rsid w:val="003360F9"/>
    <w:rsid w:val="003364F4"/>
    <w:rsid w:val="00367F5D"/>
    <w:rsid w:val="00380875"/>
    <w:rsid w:val="003820DA"/>
    <w:rsid w:val="003A1AD8"/>
    <w:rsid w:val="003A4DF6"/>
    <w:rsid w:val="003B0F20"/>
    <w:rsid w:val="003B7696"/>
    <w:rsid w:val="003C03B5"/>
    <w:rsid w:val="003C130D"/>
    <w:rsid w:val="003C21FD"/>
    <w:rsid w:val="003C693E"/>
    <w:rsid w:val="003C76E6"/>
    <w:rsid w:val="003F2599"/>
    <w:rsid w:val="003F2B61"/>
    <w:rsid w:val="003F4FD8"/>
    <w:rsid w:val="003F5733"/>
    <w:rsid w:val="00407052"/>
    <w:rsid w:val="00421872"/>
    <w:rsid w:val="0042626D"/>
    <w:rsid w:val="0043185F"/>
    <w:rsid w:val="00433C8F"/>
    <w:rsid w:val="004366FE"/>
    <w:rsid w:val="004378CD"/>
    <w:rsid w:val="004444FD"/>
    <w:rsid w:val="0044663C"/>
    <w:rsid w:val="004541EF"/>
    <w:rsid w:val="004570AF"/>
    <w:rsid w:val="00460E4A"/>
    <w:rsid w:val="0047403B"/>
    <w:rsid w:val="0048387C"/>
    <w:rsid w:val="0049135B"/>
    <w:rsid w:val="00491D67"/>
    <w:rsid w:val="00493435"/>
    <w:rsid w:val="004A0780"/>
    <w:rsid w:val="004A268A"/>
    <w:rsid w:val="004A64BF"/>
    <w:rsid w:val="004A791F"/>
    <w:rsid w:val="004A7ADC"/>
    <w:rsid w:val="004B4ADE"/>
    <w:rsid w:val="004C4933"/>
    <w:rsid w:val="004C6B91"/>
    <w:rsid w:val="004E5643"/>
    <w:rsid w:val="004F6F7F"/>
    <w:rsid w:val="004F795B"/>
    <w:rsid w:val="00503101"/>
    <w:rsid w:val="0050377F"/>
    <w:rsid w:val="0051292F"/>
    <w:rsid w:val="0052592B"/>
    <w:rsid w:val="00535E2F"/>
    <w:rsid w:val="0056629C"/>
    <w:rsid w:val="005670E4"/>
    <w:rsid w:val="00567FB1"/>
    <w:rsid w:val="00580847"/>
    <w:rsid w:val="00581168"/>
    <w:rsid w:val="005824DF"/>
    <w:rsid w:val="005827AC"/>
    <w:rsid w:val="00585220"/>
    <w:rsid w:val="00590012"/>
    <w:rsid w:val="00591E3E"/>
    <w:rsid w:val="005C5DCC"/>
    <w:rsid w:val="005D14D1"/>
    <w:rsid w:val="005D23AE"/>
    <w:rsid w:val="005D378A"/>
    <w:rsid w:val="005E605F"/>
    <w:rsid w:val="00602CBB"/>
    <w:rsid w:val="00603FD5"/>
    <w:rsid w:val="006050D1"/>
    <w:rsid w:val="00606AF8"/>
    <w:rsid w:val="006166DC"/>
    <w:rsid w:val="00624A21"/>
    <w:rsid w:val="00635D3A"/>
    <w:rsid w:val="00637A27"/>
    <w:rsid w:val="0064779C"/>
    <w:rsid w:val="00656B95"/>
    <w:rsid w:val="00664E18"/>
    <w:rsid w:val="0067318C"/>
    <w:rsid w:val="006739A5"/>
    <w:rsid w:val="006910F6"/>
    <w:rsid w:val="006937C8"/>
    <w:rsid w:val="006942D5"/>
    <w:rsid w:val="006A3707"/>
    <w:rsid w:val="006A76F6"/>
    <w:rsid w:val="006B111D"/>
    <w:rsid w:val="006B5AD4"/>
    <w:rsid w:val="006B7CD3"/>
    <w:rsid w:val="006C7881"/>
    <w:rsid w:val="006F435E"/>
    <w:rsid w:val="006F61CB"/>
    <w:rsid w:val="006F72CE"/>
    <w:rsid w:val="0070365E"/>
    <w:rsid w:val="0071021D"/>
    <w:rsid w:val="00711944"/>
    <w:rsid w:val="00715C56"/>
    <w:rsid w:val="00721CFA"/>
    <w:rsid w:val="00724566"/>
    <w:rsid w:val="00734BD1"/>
    <w:rsid w:val="007412AA"/>
    <w:rsid w:val="007469AE"/>
    <w:rsid w:val="00747FCA"/>
    <w:rsid w:val="00750D27"/>
    <w:rsid w:val="00751867"/>
    <w:rsid w:val="0076663F"/>
    <w:rsid w:val="00774F24"/>
    <w:rsid w:val="0078709A"/>
    <w:rsid w:val="00793B64"/>
    <w:rsid w:val="00793C13"/>
    <w:rsid w:val="007A1DA6"/>
    <w:rsid w:val="007C4F8B"/>
    <w:rsid w:val="007D3386"/>
    <w:rsid w:val="007E4447"/>
    <w:rsid w:val="0080107F"/>
    <w:rsid w:val="00803D68"/>
    <w:rsid w:val="008076E2"/>
    <w:rsid w:val="00810BD0"/>
    <w:rsid w:val="00811C06"/>
    <w:rsid w:val="00813A4E"/>
    <w:rsid w:val="00814356"/>
    <w:rsid w:val="00845034"/>
    <w:rsid w:val="008518C9"/>
    <w:rsid w:val="00852DE3"/>
    <w:rsid w:val="00863701"/>
    <w:rsid w:val="008911FA"/>
    <w:rsid w:val="00893CDE"/>
    <w:rsid w:val="008B5DEC"/>
    <w:rsid w:val="008C1085"/>
    <w:rsid w:val="008C14EC"/>
    <w:rsid w:val="008D5924"/>
    <w:rsid w:val="008D7681"/>
    <w:rsid w:val="008E40AE"/>
    <w:rsid w:val="008F4E65"/>
    <w:rsid w:val="008F74D4"/>
    <w:rsid w:val="009108C5"/>
    <w:rsid w:val="0091137A"/>
    <w:rsid w:val="00922E12"/>
    <w:rsid w:val="00923838"/>
    <w:rsid w:val="009312BD"/>
    <w:rsid w:val="0094493C"/>
    <w:rsid w:val="00946461"/>
    <w:rsid w:val="00975836"/>
    <w:rsid w:val="00984D00"/>
    <w:rsid w:val="0098797A"/>
    <w:rsid w:val="009937E8"/>
    <w:rsid w:val="009A7113"/>
    <w:rsid w:val="009B79B1"/>
    <w:rsid w:val="009C0E7F"/>
    <w:rsid w:val="009D047A"/>
    <w:rsid w:val="009E04A4"/>
    <w:rsid w:val="009E5E99"/>
    <w:rsid w:val="009F0447"/>
    <w:rsid w:val="009F049D"/>
    <w:rsid w:val="009F04A0"/>
    <w:rsid w:val="009F5E2A"/>
    <w:rsid w:val="00A0044C"/>
    <w:rsid w:val="00A019A2"/>
    <w:rsid w:val="00A02BBB"/>
    <w:rsid w:val="00A23CEC"/>
    <w:rsid w:val="00A23D2F"/>
    <w:rsid w:val="00A27085"/>
    <w:rsid w:val="00A46936"/>
    <w:rsid w:val="00A4744A"/>
    <w:rsid w:val="00A6197F"/>
    <w:rsid w:val="00A66D3B"/>
    <w:rsid w:val="00A737C2"/>
    <w:rsid w:val="00A751DC"/>
    <w:rsid w:val="00A77BDF"/>
    <w:rsid w:val="00A818AF"/>
    <w:rsid w:val="00AA4AB4"/>
    <w:rsid w:val="00AB3A16"/>
    <w:rsid w:val="00AD3E11"/>
    <w:rsid w:val="00AE49C8"/>
    <w:rsid w:val="00AF45E3"/>
    <w:rsid w:val="00B16617"/>
    <w:rsid w:val="00B25391"/>
    <w:rsid w:val="00B26A9B"/>
    <w:rsid w:val="00B534A4"/>
    <w:rsid w:val="00B61542"/>
    <w:rsid w:val="00B654EA"/>
    <w:rsid w:val="00B82506"/>
    <w:rsid w:val="00B9181B"/>
    <w:rsid w:val="00BA611D"/>
    <w:rsid w:val="00BD0DFA"/>
    <w:rsid w:val="00BD45B5"/>
    <w:rsid w:val="00BE5D54"/>
    <w:rsid w:val="00BE6F5B"/>
    <w:rsid w:val="00C00A45"/>
    <w:rsid w:val="00C01D06"/>
    <w:rsid w:val="00C01E89"/>
    <w:rsid w:val="00C122BE"/>
    <w:rsid w:val="00C23DFA"/>
    <w:rsid w:val="00C24300"/>
    <w:rsid w:val="00C26813"/>
    <w:rsid w:val="00C46100"/>
    <w:rsid w:val="00C57D84"/>
    <w:rsid w:val="00C6629A"/>
    <w:rsid w:val="00C81B3B"/>
    <w:rsid w:val="00C85DF0"/>
    <w:rsid w:val="00CA260C"/>
    <w:rsid w:val="00CB17F4"/>
    <w:rsid w:val="00CB505A"/>
    <w:rsid w:val="00CC2A8A"/>
    <w:rsid w:val="00CC4784"/>
    <w:rsid w:val="00CD1868"/>
    <w:rsid w:val="00CD7C7A"/>
    <w:rsid w:val="00CE346F"/>
    <w:rsid w:val="00CF50F2"/>
    <w:rsid w:val="00D112D6"/>
    <w:rsid w:val="00D114FD"/>
    <w:rsid w:val="00D24674"/>
    <w:rsid w:val="00D27571"/>
    <w:rsid w:val="00D30BC0"/>
    <w:rsid w:val="00D3580A"/>
    <w:rsid w:val="00D42457"/>
    <w:rsid w:val="00D519E3"/>
    <w:rsid w:val="00D64EEA"/>
    <w:rsid w:val="00D65A4B"/>
    <w:rsid w:val="00D65B72"/>
    <w:rsid w:val="00D72886"/>
    <w:rsid w:val="00D75CD0"/>
    <w:rsid w:val="00D817F3"/>
    <w:rsid w:val="00D8449B"/>
    <w:rsid w:val="00D8574B"/>
    <w:rsid w:val="00D86290"/>
    <w:rsid w:val="00D90A2C"/>
    <w:rsid w:val="00D94BE9"/>
    <w:rsid w:val="00DB0445"/>
    <w:rsid w:val="00DB3130"/>
    <w:rsid w:val="00DB4CE7"/>
    <w:rsid w:val="00DD0017"/>
    <w:rsid w:val="00DD0B98"/>
    <w:rsid w:val="00DD6AE4"/>
    <w:rsid w:val="00DE5760"/>
    <w:rsid w:val="00DF3113"/>
    <w:rsid w:val="00DF78F1"/>
    <w:rsid w:val="00DF7BFB"/>
    <w:rsid w:val="00DF7C9E"/>
    <w:rsid w:val="00E0598E"/>
    <w:rsid w:val="00E12985"/>
    <w:rsid w:val="00E27C07"/>
    <w:rsid w:val="00E54488"/>
    <w:rsid w:val="00E56192"/>
    <w:rsid w:val="00E57C52"/>
    <w:rsid w:val="00E612F6"/>
    <w:rsid w:val="00E66E9B"/>
    <w:rsid w:val="00EA05C0"/>
    <w:rsid w:val="00EA2D5C"/>
    <w:rsid w:val="00EA3731"/>
    <w:rsid w:val="00EA4BC5"/>
    <w:rsid w:val="00EA5A08"/>
    <w:rsid w:val="00EA6E3E"/>
    <w:rsid w:val="00EB4B03"/>
    <w:rsid w:val="00ED4633"/>
    <w:rsid w:val="00EF5DB7"/>
    <w:rsid w:val="00F14AD7"/>
    <w:rsid w:val="00F21BDD"/>
    <w:rsid w:val="00F244A6"/>
    <w:rsid w:val="00F258F4"/>
    <w:rsid w:val="00F26000"/>
    <w:rsid w:val="00F34615"/>
    <w:rsid w:val="00F54BE6"/>
    <w:rsid w:val="00F7090D"/>
    <w:rsid w:val="00F72C15"/>
    <w:rsid w:val="00FC35B2"/>
    <w:rsid w:val="00FE4037"/>
    <w:rsid w:val="00FF0E7C"/>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5DA4518"/>
    <w:rsid w:val="06336531"/>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9F406C"/>
    <w:rsid w:val="10DE1449"/>
    <w:rsid w:val="11185E54"/>
    <w:rsid w:val="111E1B8C"/>
    <w:rsid w:val="11437C1A"/>
    <w:rsid w:val="12487CE3"/>
    <w:rsid w:val="125E66E4"/>
    <w:rsid w:val="127C39BF"/>
    <w:rsid w:val="12A762DD"/>
    <w:rsid w:val="13255FEB"/>
    <w:rsid w:val="135C3EE8"/>
    <w:rsid w:val="13FF3EF7"/>
    <w:rsid w:val="14045069"/>
    <w:rsid w:val="14105202"/>
    <w:rsid w:val="14593E59"/>
    <w:rsid w:val="147C10A3"/>
    <w:rsid w:val="14FC649F"/>
    <w:rsid w:val="15430425"/>
    <w:rsid w:val="15A8272D"/>
    <w:rsid w:val="15CC70C4"/>
    <w:rsid w:val="16276709"/>
    <w:rsid w:val="16314110"/>
    <w:rsid w:val="164825DB"/>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EC919FE"/>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F52D0A"/>
    <w:rsid w:val="253432D4"/>
    <w:rsid w:val="256F266F"/>
    <w:rsid w:val="259C5AEB"/>
    <w:rsid w:val="25A247EC"/>
    <w:rsid w:val="26061132"/>
    <w:rsid w:val="2650413E"/>
    <w:rsid w:val="2685584E"/>
    <w:rsid w:val="268B161A"/>
    <w:rsid w:val="26B91D0D"/>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314970"/>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6457ED"/>
    <w:rsid w:val="469320F9"/>
    <w:rsid w:val="46DF70EC"/>
    <w:rsid w:val="46F10BCE"/>
    <w:rsid w:val="473622B5"/>
    <w:rsid w:val="47874EA9"/>
    <w:rsid w:val="47B44676"/>
    <w:rsid w:val="4803701A"/>
    <w:rsid w:val="480A548C"/>
    <w:rsid w:val="480F3951"/>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162BB6"/>
    <w:rsid w:val="4C7A32E7"/>
    <w:rsid w:val="4C9B3AB5"/>
    <w:rsid w:val="4D05239A"/>
    <w:rsid w:val="4D447CA9"/>
    <w:rsid w:val="4D677E3B"/>
    <w:rsid w:val="4D6A3FBD"/>
    <w:rsid w:val="4DC3305E"/>
    <w:rsid w:val="4DF62315"/>
    <w:rsid w:val="4E023E15"/>
    <w:rsid w:val="4E371546"/>
    <w:rsid w:val="4E760336"/>
    <w:rsid w:val="4F100820"/>
    <w:rsid w:val="4FA964E9"/>
    <w:rsid w:val="502D711A"/>
    <w:rsid w:val="505C3C79"/>
    <w:rsid w:val="507A635B"/>
    <w:rsid w:val="508722C5"/>
    <w:rsid w:val="50B6598C"/>
    <w:rsid w:val="50D70E34"/>
    <w:rsid w:val="514207FD"/>
    <w:rsid w:val="51446330"/>
    <w:rsid w:val="5176064D"/>
    <w:rsid w:val="51A73905"/>
    <w:rsid w:val="51B11685"/>
    <w:rsid w:val="51B25415"/>
    <w:rsid w:val="51C13FBE"/>
    <w:rsid w:val="51EC0F1C"/>
    <w:rsid w:val="52232583"/>
    <w:rsid w:val="522D179F"/>
    <w:rsid w:val="52A5743C"/>
    <w:rsid w:val="52BD6105"/>
    <w:rsid w:val="52C74869"/>
    <w:rsid w:val="53111CCF"/>
    <w:rsid w:val="53BC7CB1"/>
    <w:rsid w:val="53CA4C80"/>
    <w:rsid w:val="53DB2795"/>
    <w:rsid w:val="5402266C"/>
    <w:rsid w:val="54896BD1"/>
    <w:rsid w:val="54DB230D"/>
    <w:rsid w:val="55944C0E"/>
    <w:rsid w:val="55A90FF1"/>
    <w:rsid w:val="56097CE2"/>
    <w:rsid w:val="56206DD9"/>
    <w:rsid w:val="569752EE"/>
    <w:rsid w:val="56B93469"/>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1F21701"/>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296E44"/>
    <w:rsid w:val="66D9725C"/>
    <w:rsid w:val="670F7122"/>
    <w:rsid w:val="6714663C"/>
    <w:rsid w:val="673812B4"/>
    <w:rsid w:val="67A71109"/>
    <w:rsid w:val="67FD341E"/>
    <w:rsid w:val="682164F7"/>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59142C"/>
    <w:rsid w:val="718C1A9B"/>
    <w:rsid w:val="71933005"/>
    <w:rsid w:val="719721EE"/>
    <w:rsid w:val="71D34078"/>
    <w:rsid w:val="72C05AE3"/>
    <w:rsid w:val="72DA44FF"/>
    <w:rsid w:val="72EB15F3"/>
    <w:rsid w:val="735143C5"/>
    <w:rsid w:val="73CB43D1"/>
    <w:rsid w:val="73CB6DD9"/>
    <w:rsid w:val="73DC213A"/>
    <w:rsid w:val="73E01848"/>
    <w:rsid w:val="74116287"/>
    <w:rsid w:val="742762A4"/>
    <w:rsid w:val="7463479A"/>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kern w:val="0"/>
      <w:sz w:val="20"/>
      <w:szCs w:val="20"/>
    </w:rPr>
  </w:style>
  <w:style w:type="paragraph" w:styleId="8">
    <w:name w:val="Document Map"/>
    <w:basedOn w:val="1"/>
    <w:link w:val="46"/>
    <w:autoRedefine/>
    <w:semiHidden/>
    <w:unhideWhenUsed/>
    <w:qFormat/>
    <w:uiPriority w:val="0"/>
    <w:rPr>
      <w:rFonts w:ascii="Microsoft YaHei UI" w:eastAsia="Microsoft YaHei UI"/>
      <w:sz w:val="18"/>
      <w:szCs w:val="18"/>
    </w:rPr>
  </w:style>
  <w:style w:type="paragraph" w:styleId="9">
    <w:name w:val="Body Text"/>
    <w:basedOn w:val="1"/>
    <w:autoRedefine/>
    <w:qFormat/>
    <w:uiPriority w:val="0"/>
    <w:pPr>
      <w:spacing w:after="120"/>
    </w:pPr>
    <w:rPr>
      <w:rFonts w:ascii="Times New Roman" w:hAnsi="Times New Roman"/>
      <w:szCs w:val="20"/>
    </w:rPr>
  </w:style>
  <w:style w:type="paragraph" w:styleId="10">
    <w:name w:val="Body Text Indent"/>
    <w:basedOn w:val="1"/>
    <w:link w:val="58"/>
    <w:autoRedefine/>
    <w:qFormat/>
    <w:uiPriority w:val="99"/>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Date"/>
    <w:basedOn w:val="1"/>
    <w:next w:val="1"/>
    <w:link w:val="61"/>
    <w:semiHidden/>
    <w:unhideWhenUsed/>
    <w:uiPriority w:val="0"/>
    <w:pPr>
      <w:ind w:left="100" w:leftChars="2500"/>
    </w:pPr>
  </w:style>
  <w:style w:type="paragraph" w:styleId="14">
    <w:name w:val="Balloon Text"/>
    <w:basedOn w:val="1"/>
    <w:link w:val="57"/>
    <w:autoRedefine/>
    <w:qFormat/>
    <w:uiPriority w:val="99"/>
    <w:rPr>
      <w:sz w:val="18"/>
      <w:szCs w:val="18"/>
    </w:rPr>
  </w:style>
  <w:style w:type="paragraph" w:styleId="15">
    <w:name w:val="footer"/>
    <w:basedOn w:val="1"/>
    <w:link w:val="43"/>
    <w:autoRedefine/>
    <w:qFormat/>
    <w:uiPriority w:val="99"/>
    <w:pPr>
      <w:tabs>
        <w:tab w:val="center" w:pos="4153"/>
        <w:tab w:val="right" w:pos="8306"/>
      </w:tabs>
      <w:snapToGrid w:val="0"/>
      <w:jc w:val="left"/>
    </w:pPr>
    <w:rPr>
      <w:sz w:val="18"/>
    </w:rPr>
  </w:style>
  <w:style w:type="paragraph" w:styleId="16">
    <w:name w:val="header"/>
    <w:basedOn w:val="1"/>
    <w:link w:val="6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Normal (Web)"/>
    <w:basedOn w:val="1"/>
    <w:autoRedefine/>
    <w:qFormat/>
    <w:uiPriority w:val="0"/>
    <w:pPr>
      <w:spacing w:before="100" w:beforeAutospacing="1" w:after="100" w:afterAutospacing="1" w:line="400" w:lineRule="exact"/>
      <w:jc w:val="left"/>
    </w:pPr>
    <w:rPr>
      <w:rFonts w:hint="eastAsia" w:ascii="Arial Unicode MS" w:hAnsi="Arial Unicode MS"/>
      <w:kern w:val="0"/>
      <w:sz w:val="24"/>
      <w:szCs w:val="20"/>
    </w:rPr>
  </w:style>
  <w:style w:type="paragraph" w:styleId="18">
    <w:name w:val="Body Text First Indent"/>
    <w:basedOn w:val="9"/>
    <w:autoRedefine/>
    <w:qFormat/>
    <w:uiPriority w:val="0"/>
    <w:pPr>
      <w:ind w:firstLine="420" w:firstLineChars="100"/>
    </w:pPr>
  </w:style>
  <w:style w:type="paragraph" w:styleId="19">
    <w:name w:val="Body Text First Indent 2"/>
    <w:basedOn w:val="10"/>
    <w:next w:val="1"/>
    <w:link w:val="59"/>
    <w:autoRedefine/>
    <w:qFormat/>
    <w:uiPriority w:val="0"/>
    <w:pPr>
      <w:spacing w:after="120"/>
      <w:ind w:firstLine="420" w:firstLineChars="200"/>
    </w:pPr>
    <w:rPr>
      <w:rFonts w:ascii="Times New Roman" w:hAnsi="Times New Roman"/>
      <w:szCs w:val="20"/>
    </w:r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autoRedefine/>
    <w:qFormat/>
    <w:uiPriority w:val="0"/>
    <w:rPr>
      <w:color w:val="800080"/>
      <w:u w:val="none"/>
    </w:rPr>
  </w:style>
  <w:style w:type="character" w:styleId="24">
    <w:name w:val="HTML Definition"/>
    <w:basedOn w:val="22"/>
    <w:autoRedefine/>
    <w:qFormat/>
    <w:uiPriority w:val="0"/>
  </w:style>
  <w:style w:type="character" w:styleId="25">
    <w:name w:val="HTML Typewriter"/>
    <w:basedOn w:val="22"/>
    <w:autoRedefine/>
    <w:qFormat/>
    <w:uiPriority w:val="0"/>
    <w:rPr>
      <w:rFonts w:hint="default" w:ascii="monospace" w:hAnsi="monospace" w:eastAsia="monospace" w:cs="monospace"/>
      <w:sz w:val="20"/>
    </w:rPr>
  </w:style>
  <w:style w:type="character" w:styleId="26">
    <w:name w:val="HTML Acronym"/>
    <w:basedOn w:val="22"/>
    <w:autoRedefine/>
    <w:qFormat/>
    <w:uiPriority w:val="0"/>
  </w:style>
  <w:style w:type="character" w:styleId="27">
    <w:name w:val="HTML Variable"/>
    <w:basedOn w:val="22"/>
    <w:autoRedefine/>
    <w:qFormat/>
    <w:uiPriority w:val="0"/>
  </w:style>
  <w:style w:type="character" w:styleId="28">
    <w:name w:val="Hyperlink"/>
    <w:basedOn w:val="22"/>
    <w:autoRedefine/>
    <w:qFormat/>
    <w:uiPriority w:val="0"/>
    <w:rPr>
      <w:color w:val="0000FF"/>
      <w:u w:val="none"/>
    </w:rPr>
  </w:style>
  <w:style w:type="character" w:styleId="29">
    <w:name w:val="HTML Code"/>
    <w:basedOn w:val="22"/>
    <w:autoRedefine/>
    <w:qFormat/>
    <w:uiPriority w:val="0"/>
    <w:rPr>
      <w:rFonts w:ascii="monospace" w:hAnsi="monospace" w:eastAsia="monospace" w:cs="monospace"/>
      <w:sz w:val="20"/>
    </w:rPr>
  </w:style>
  <w:style w:type="character" w:styleId="30">
    <w:name w:val="HTML Cite"/>
    <w:basedOn w:val="22"/>
    <w:autoRedefine/>
    <w:qFormat/>
    <w:uiPriority w:val="0"/>
  </w:style>
  <w:style w:type="character" w:styleId="31">
    <w:name w:val="HTML Keyboard"/>
    <w:basedOn w:val="22"/>
    <w:autoRedefine/>
    <w:qFormat/>
    <w:uiPriority w:val="0"/>
    <w:rPr>
      <w:rFonts w:hint="default" w:ascii="monospace" w:hAnsi="monospace" w:eastAsia="monospace" w:cs="monospace"/>
      <w:sz w:val="20"/>
    </w:rPr>
  </w:style>
  <w:style w:type="character" w:styleId="32">
    <w:name w:val="HTML Sample"/>
    <w:basedOn w:val="22"/>
    <w:autoRedefine/>
    <w:qFormat/>
    <w:uiPriority w:val="0"/>
    <w:rPr>
      <w:rFonts w:hint="default" w:ascii="monospace" w:hAnsi="monospace" w:eastAsia="monospace" w:cs="monospace"/>
    </w:rPr>
  </w:style>
  <w:style w:type="paragraph" w:customStyle="1" w:styleId="33">
    <w:name w:val="*正文"/>
    <w:basedOn w:val="1"/>
    <w:autoRedefine/>
    <w:qFormat/>
    <w:uiPriority w:val="0"/>
    <w:rPr>
      <w:rFonts w:ascii="宋体" w:hAnsi="宋体"/>
      <w:kern w:val="0"/>
    </w:rPr>
  </w:style>
  <w:style w:type="paragraph" w:customStyle="1" w:styleId="3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6">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7">
    <w:name w:val="first-child"/>
    <w:basedOn w:val="22"/>
    <w:autoRedefine/>
    <w:qFormat/>
    <w:uiPriority w:val="0"/>
  </w:style>
  <w:style w:type="character" w:customStyle="1" w:styleId="38">
    <w:name w:val="hover2"/>
    <w:basedOn w:val="22"/>
    <w:autoRedefine/>
    <w:qFormat/>
    <w:uiPriority w:val="0"/>
    <w:rPr>
      <w:color w:val="5FB878"/>
    </w:rPr>
  </w:style>
  <w:style w:type="character" w:customStyle="1" w:styleId="39">
    <w:name w:val="hover3"/>
    <w:basedOn w:val="22"/>
    <w:autoRedefine/>
    <w:qFormat/>
    <w:uiPriority w:val="0"/>
    <w:rPr>
      <w:color w:val="5FB878"/>
    </w:rPr>
  </w:style>
  <w:style w:type="character" w:customStyle="1" w:styleId="40">
    <w:name w:val="hover4"/>
    <w:basedOn w:val="22"/>
    <w:autoRedefine/>
    <w:qFormat/>
    <w:uiPriority w:val="0"/>
    <w:rPr>
      <w:color w:val="FFFFFF"/>
    </w:rPr>
  </w:style>
  <w:style w:type="character" w:customStyle="1" w:styleId="41">
    <w:name w:val="layui-this"/>
    <w:basedOn w:val="22"/>
    <w:autoRedefine/>
    <w:qFormat/>
    <w:uiPriority w:val="0"/>
    <w:rPr>
      <w:bdr w:val="single" w:color="EEEEEE" w:sz="6" w:space="0"/>
      <w:shd w:val="clear" w:color="auto" w:fill="FFFFFF"/>
    </w:rPr>
  </w:style>
  <w:style w:type="paragraph" w:customStyle="1" w:styleId="4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3">
    <w:name w:val="页脚 Char"/>
    <w:basedOn w:val="22"/>
    <w:link w:val="15"/>
    <w:autoRedefine/>
    <w:qFormat/>
    <w:uiPriority w:val="99"/>
    <w:rPr>
      <w:rFonts w:ascii="Calibri" w:hAnsi="Calibri"/>
      <w:kern w:val="2"/>
      <w:sz w:val="18"/>
      <w:szCs w:val="24"/>
    </w:rPr>
  </w:style>
  <w:style w:type="paragraph" w:styleId="44">
    <w:name w:val="List Paragraph"/>
    <w:basedOn w:val="1"/>
    <w:autoRedefine/>
    <w:qFormat/>
    <w:uiPriority w:val="99"/>
    <w:pPr>
      <w:ind w:firstLine="420" w:firstLineChars="200"/>
    </w:pPr>
  </w:style>
  <w:style w:type="character" w:customStyle="1" w:styleId="45">
    <w:name w:val="标题 1 Char"/>
    <w:link w:val="2"/>
    <w:autoRedefine/>
    <w:qFormat/>
    <w:uiPriority w:val="0"/>
    <w:rPr>
      <w:b/>
      <w:kern w:val="44"/>
      <w:sz w:val="44"/>
    </w:rPr>
  </w:style>
  <w:style w:type="character" w:customStyle="1" w:styleId="46">
    <w:name w:val="文档结构图 Char"/>
    <w:basedOn w:val="22"/>
    <w:link w:val="8"/>
    <w:autoRedefine/>
    <w:semiHidden/>
    <w:qFormat/>
    <w:uiPriority w:val="0"/>
    <w:rPr>
      <w:rFonts w:ascii="Microsoft YaHei UI" w:hAnsi="Calibri" w:eastAsia="Microsoft YaHei UI"/>
      <w:kern w:val="2"/>
      <w:sz w:val="18"/>
      <w:szCs w:val="18"/>
    </w:rPr>
  </w:style>
  <w:style w:type="character" w:customStyle="1" w:styleId="47">
    <w:name w:val="font21"/>
    <w:basedOn w:val="22"/>
    <w:autoRedefine/>
    <w:qFormat/>
    <w:uiPriority w:val="0"/>
    <w:rPr>
      <w:rFonts w:hint="eastAsia" w:ascii="微软雅黑" w:hAnsi="微软雅黑" w:eastAsia="微软雅黑" w:cs="微软雅黑"/>
      <w:color w:val="000000"/>
      <w:sz w:val="20"/>
      <w:szCs w:val="20"/>
      <w:u w:val="none"/>
    </w:rPr>
  </w:style>
  <w:style w:type="character" w:customStyle="1" w:styleId="48">
    <w:name w:val="font41"/>
    <w:basedOn w:val="22"/>
    <w:autoRedefine/>
    <w:qFormat/>
    <w:uiPriority w:val="0"/>
    <w:rPr>
      <w:rFonts w:ascii="Arial" w:hAnsi="Arial" w:cs="Arial"/>
      <w:color w:val="000000"/>
      <w:sz w:val="20"/>
      <w:szCs w:val="20"/>
      <w:u w:val="none"/>
    </w:rPr>
  </w:style>
  <w:style w:type="character" w:customStyle="1" w:styleId="49">
    <w:name w:val="NormalCharacter"/>
    <w:autoRedefine/>
    <w:qFormat/>
    <w:uiPriority w:val="99"/>
  </w:style>
  <w:style w:type="paragraph" w:customStyle="1" w:styleId="50">
    <w:name w:val="HtmlNormal"/>
    <w:basedOn w:val="1"/>
    <w:autoRedefine/>
    <w:qFormat/>
    <w:uiPriority w:val="0"/>
    <w:pPr>
      <w:jc w:val="left"/>
    </w:pPr>
    <w:rPr>
      <w:kern w:val="0"/>
      <w:sz w:val="24"/>
    </w:rPr>
  </w:style>
  <w:style w:type="paragraph" w:customStyle="1" w:styleId="51">
    <w:name w:val="样式 正文格式 + 行距: 多倍行距 1.25 字行"/>
    <w:basedOn w:val="52"/>
    <w:autoRedefine/>
    <w:qFormat/>
    <w:uiPriority w:val="0"/>
    <w:pPr>
      <w:spacing w:line="300" w:lineRule="auto"/>
    </w:pPr>
    <w:rPr>
      <w:rFonts w:cs="宋体"/>
    </w:rPr>
  </w:style>
  <w:style w:type="paragraph" w:customStyle="1" w:styleId="52">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3">
    <w:name w:val="font11"/>
    <w:basedOn w:val="22"/>
    <w:autoRedefine/>
    <w:qFormat/>
    <w:uiPriority w:val="0"/>
    <w:rPr>
      <w:rFonts w:hint="eastAsia" w:ascii="宋体" w:hAnsi="宋体" w:eastAsia="宋体" w:cs="宋体"/>
      <w:color w:val="000000"/>
      <w:sz w:val="24"/>
      <w:szCs w:val="24"/>
      <w:u w:val="none"/>
    </w:rPr>
  </w:style>
  <w:style w:type="paragraph" w:customStyle="1" w:styleId="54">
    <w:name w:val="Table Text"/>
    <w:basedOn w:val="1"/>
    <w:autoRedefine/>
    <w:semiHidden/>
    <w:qFormat/>
    <w:uiPriority w:val="0"/>
    <w:rPr>
      <w:rFonts w:ascii="微软雅黑" w:hAnsi="微软雅黑" w:eastAsia="微软雅黑" w:cs="微软雅黑"/>
      <w:sz w:val="19"/>
      <w:szCs w:val="19"/>
    </w:rPr>
  </w:style>
  <w:style w:type="table" w:customStyle="1" w:styleId="55">
    <w:name w:val="Table Normal"/>
    <w:autoRedefine/>
    <w:semiHidden/>
    <w:unhideWhenUsed/>
    <w:qFormat/>
    <w:uiPriority w:val="0"/>
    <w:tblPr>
      <w:tblCellMar>
        <w:top w:w="0" w:type="dxa"/>
        <w:left w:w="0" w:type="dxa"/>
        <w:bottom w:w="0" w:type="dxa"/>
        <w:right w:w="0" w:type="dxa"/>
      </w:tblCellMar>
    </w:tblPr>
  </w:style>
  <w:style w:type="table" w:customStyle="1" w:styleId="56">
    <w:name w:val="网格型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7">
    <w:name w:val="批注框文本 Char"/>
    <w:basedOn w:val="22"/>
    <w:link w:val="14"/>
    <w:uiPriority w:val="99"/>
    <w:rPr>
      <w:rFonts w:ascii="Calibri" w:hAnsi="Calibri"/>
      <w:kern w:val="2"/>
      <w:sz w:val="18"/>
      <w:szCs w:val="18"/>
    </w:rPr>
  </w:style>
  <w:style w:type="character" w:customStyle="1" w:styleId="58">
    <w:name w:val="正文文本缩进 Char"/>
    <w:basedOn w:val="22"/>
    <w:link w:val="10"/>
    <w:uiPriority w:val="99"/>
    <w:rPr>
      <w:rFonts w:ascii="Calibri" w:hAnsi="Calibri"/>
      <w:kern w:val="2"/>
      <w:sz w:val="21"/>
      <w:szCs w:val="24"/>
    </w:rPr>
  </w:style>
  <w:style w:type="character" w:customStyle="1" w:styleId="59">
    <w:name w:val="正文首行缩进 2 Char"/>
    <w:basedOn w:val="58"/>
    <w:link w:val="19"/>
    <w:uiPriority w:val="0"/>
  </w:style>
  <w:style w:type="character" w:customStyle="1" w:styleId="60">
    <w:name w:val="页眉 Char"/>
    <w:basedOn w:val="22"/>
    <w:link w:val="16"/>
    <w:uiPriority w:val="99"/>
    <w:rPr>
      <w:rFonts w:ascii="Calibri" w:hAnsi="Calibri"/>
      <w:kern w:val="2"/>
      <w:sz w:val="18"/>
      <w:szCs w:val="24"/>
    </w:rPr>
  </w:style>
  <w:style w:type="character" w:customStyle="1" w:styleId="61">
    <w:name w:val="日期 Char"/>
    <w:basedOn w:val="22"/>
    <w:link w:val="13"/>
    <w:autoRedefine/>
    <w:semiHidden/>
    <w:qFormat/>
    <w:uiPriority w:val="0"/>
    <w:rPr>
      <w:rFonts w:ascii="Calibri" w:hAnsi="Calibri"/>
      <w:kern w:val="2"/>
      <w:sz w:val="21"/>
      <w:szCs w:val="24"/>
    </w:rPr>
  </w:style>
  <w:style w:type="character" w:customStyle="1" w:styleId="62">
    <w:name w:val="font81"/>
    <w:basedOn w:val="22"/>
    <w:autoRedefine/>
    <w:qFormat/>
    <w:uiPriority w:val="0"/>
    <w:rPr>
      <w:rFonts w:hint="eastAsia" w:ascii="宋体" w:hAnsi="宋体" w:eastAsia="宋体" w:cs="宋体"/>
      <w:color w:val="000000"/>
      <w:sz w:val="27"/>
      <w:szCs w:val="27"/>
      <w:u w:val="none"/>
    </w:rPr>
  </w:style>
  <w:style w:type="character" w:customStyle="1" w:styleId="63">
    <w:name w:val="font31"/>
    <w:basedOn w:val="22"/>
    <w:uiPriority w:val="0"/>
    <w:rPr>
      <w:rFonts w:hint="eastAsia" w:ascii="宋体" w:hAnsi="宋体" w:eastAsia="宋体" w:cs="宋体"/>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16278</Words>
  <Characters>5086</Characters>
  <Lines>42</Lines>
  <Paragraphs>42</Paragraphs>
  <TotalTime>219</TotalTime>
  <ScaleCrop>false</ScaleCrop>
  <LinksUpToDate>false</LinksUpToDate>
  <CharactersWithSpaces>21322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Administrator</cp:lastModifiedBy>
  <cp:lastPrinted>2025-01-24T07:07:00Z</cp:lastPrinted>
  <dcterms:modified xsi:type="dcterms:W3CDTF">2017-08-24T03:24:50Z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6FF540F3511D478E9A38BA07D39F70D9_13</vt:lpwstr>
  </property>
</Properties>
</file>