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CA44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color w:val="auto"/>
          <w:sz w:val="30"/>
          <w:szCs w:val="30"/>
          <w:lang w:val="en-US" w:eastAsia="zh-CN"/>
        </w:rPr>
      </w:pPr>
      <w:r>
        <w:rPr>
          <w:rFonts w:hint="eastAsia" w:ascii="宋体" w:hAnsi="宋体" w:cs="宋体"/>
          <w:b/>
          <w:color w:val="auto"/>
          <w:sz w:val="30"/>
          <w:szCs w:val="30"/>
          <w:lang w:val="en-US" w:eastAsia="zh-CN"/>
        </w:rPr>
        <w:t>启东市合作镇曹家镇村太阳能路灯采购项目</w:t>
      </w:r>
    </w:p>
    <w:p w14:paraId="19FB319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color w:val="auto"/>
          <w:sz w:val="30"/>
          <w:szCs w:val="30"/>
        </w:rPr>
      </w:pPr>
      <w:r>
        <w:rPr>
          <w:rFonts w:hint="eastAsia" w:ascii="宋体" w:hAnsi="宋体" w:cs="宋体"/>
          <w:b/>
          <w:color w:val="auto"/>
          <w:sz w:val="30"/>
          <w:szCs w:val="30"/>
        </w:rPr>
        <w:t>市场询价公告</w:t>
      </w:r>
    </w:p>
    <w:p w14:paraId="0A17CA01">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olor w:val="auto"/>
          <w:sz w:val="24"/>
          <w:szCs w:val="24"/>
        </w:rPr>
      </w:pPr>
      <w:r>
        <w:rPr>
          <w:rFonts w:hint="eastAsia" w:ascii="宋体" w:hAnsi="宋体" w:eastAsia="宋体"/>
          <w:color w:val="auto"/>
          <w:sz w:val="24"/>
          <w:szCs w:val="24"/>
        </w:rPr>
        <w:t>启东市</w:t>
      </w:r>
      <w:r>
        <w:rPr>
          <w:rFonts w:hint="eastAsia" w:ascii="宋体" w:hAnsi="宋体" w:eastAsia="宋体"/>
          <w:color w:val="auto"/>
          <w:sz w:val="24"/>
          <w:szCs w:val="24"/>
          <w:lang w:val="en-US" w:eastAsia="zh-CN"/>
        </w:rPr>
        <w:t>合作</w:t>
      </w:r>
      <w:r>
        <w:rPr>
          <w:rFonts w:hint="eastAsia" w:ascii="宋体" w:hAnsi="宋体" w:eastAsia="宋体"/>
          <w:color w:val="auto"/>
          <w:sz w:val="24"/>
          <w:szCs w:val="24"/>
        </w:rPr>
        <w:t>镇</w:t>
      </w:r>
      <w:r>
        <w:rPr>
          <w:rFonts w:hint="eastAsia" w:ascii="宋体" w:hAnsi="宋体"/>
          <w:color w:val="auto"/>
          <w:sz w:val="24"/>
          <w:szCs w:val="24"/>
          <w:lang w:val="en-US" w:eastAsia="zh-CN"/>
        </w:rPr>
        <w:t>曹家镇村股份经济合作社</w:t>
      </w:r>
      <w:r>
        <w:rPr>
          <w:rFonts w:hint="eastAsia" w:ascii="宋体" w:hAnsi="宋体" w:eastAsia="宋体"/>
          <w:color w:val="auto"/>
          <w:sz w:val="24"/>
          <w:szCs w:val="24"/>
        </w:rPr>
        <w:t>根据启东市政府采购管理的有关规定，</w:t>
      </w:r>
      <w:r>
        <w:rPr>
          <w:rFonts w:hint="eastAsia" w:ascii="宋体" w:hAnsi="宋体"/>
          <w:color w:val="auto"/>
          <w:sz w:val="24"/>
          <w:szCs w:val="24"/>
          <w:lang w:val="en-US" w:eastAsia="zh-CN"/>
        </w:rPr>
        <w:t>现</w:t>
      </w:r>
      <w:r>
        <w:rPr>
          <w:rFonts w:hint="eastAsia" w:ascii="宋体" w:hAnsi="宋体" w:eastAsia="宋体"/>
          <w:color w:val="auto"/>
          <w:sz w:val="24"/>
          <w:szCs w:val="24"/>
        </w:rPr>
        <w:t>就</w:t>
      </w:r>
      <w:r>
        <w:rPr>
          <w:rFonts w:hint="eastAsia" w:ascii="宋体" w:hAnsi="宋体"/>
          <w:color w:val="auto"/>
          <w:sz w:val="24"/>
          <w:szCs w:val="24"/>
          <w:lang w:val="en-US" w:eastAsia="zh-CN"/>
        </w:rPr>
        <w:t>启东市合作镇曹家镇村太阳能路灯采购项目</w:t>
      </w:r>
      <w:r>
        <w:rPr>
          <w:rFonts w:hint="eastAsia" w:ascii="宋体" w:hAnsi="宋体" w:eastAsia="宋体"/>
          <w:color w:val="auto"/>
          <w:sz w:val="24"/>
          <w:szCs w:val="24"/>
        </w:rPr>
        <w:t>进行市场询价调研。</w:t>
      </w:r>
    </w:p>
    <w:p w14:paraId="237D80C3">
      <w:pPr>
        <w:keepNext w:val="0"/>
        <w:keepLines w:val="0"/>
        <w:pageBreakBefore w:val="0"/>
        <w:widowControl w:val="0"/>
        <w:kinsoku/>
        <w:wordWrap/>
        <w:overflowPunct/>
        <w:topLinePunct w:val="0"/>
        <w:autoSpaceDE/>
        <w:autoSpaceDN/>
        <w:bidi w:val="0"/>
        <w:adjustRightInd/>
        <w:spacing w:line="500" w:lineRule="exact"/>
        <w:ind w:firstLine="482" w:firstLineChars="200"/>
        <w:jc w:val="left"/>
        <w:textAlignment w:val="auto"/>
        <w:rPr>
          <w:rFonts w:hint="eastAsia" w:ascii="宋体" w:hAnsi="宋体" w:eastAsia="宋体" w:cs="黑体"/>
          <w:b/>
          <w:bCs/>
          <w:color w:val="auto"/>
          <w:sz w:val="24"/>
          <w:szCs w:val="24"/>
          <w:lang w:eastAsia="zh-CN"/>
        </w:rPr>
      </w:pPr>
      <w:r>
        <w:rPr>
          <w:rFonts w:hint="eastAsia" w:ascii="宋体" w:hAnsi="宋体" w:cs="黑体"/>
          <w:b/>
          <w:bCs/>
          <w:color w:val="auto"/>
          <w:sz w:val="24"/>
          <w:szCs w:val="24"/>
        </w:rPr>
        <w:t>一、项目</w:t>
      </w:r>
      <w:r>
        <w:rPr>
          <w:rFonts w:hint="eastAsia" w:ascii="宋体" w:hAnsi="宋体" w:cs="黑体"/>
          <w:b/>
          <w:bCs/>
          <w:color w:val="auto"/>
          <w:sz w:val="24"/>
          <w:szCs w:val="24"/>
          <w:lang w:val="en-US" w:eastAsia="zh-CN"/>
        </w:rPr>
        <w:t>需求</w:t>
      </w:r>
    </w:p>
    <w:p w14:paraId="617A44C0">
      <w:pPr>
        <w:pStyle w:val="2"/>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现计划</w:t>
      </w:r>
      <w:r>
        <w:rPr>
          <w:rFonts w:hint="default" w:ascii="宋体" w:hAnsi="宋体" w:eastAsia="宋体" w:cs="Times New Roman"/>
          <w:color w:val="auto"/>
          <w:kern w:val="2"/>
          <w:sz w:val="24"/>
          <w:szCs w:val="24"/>
          <w:lang w:val="en-US" w:eastAsia="zh-CN" w:bidi="ar-SA"/>
        </w:rPr>
        <w:t>采购</w:t>
      </w:r>
      <w:r>
        <w:rPr>
          <w:rFonts w:hint="eastAsia" w:ascii="宋体" w:hAnsi="宋体" w:eastAsia="宋体" w:cs="Times New Roman"/>
          <w:color w:val="auto"/>
          <w:kern w:val="2"/>
          <w:sz w:val="24"/>
          <w:szCs w:val="24"/>
          <w:lang w:val="en-US" w:eastAsia="zh-CN" w:bidi="ar-SA"/>
        </w:rPr>
        <w:t>2</w:t>
      </w:r>
      <w:r>
        <w:rPr>
          <w:rFonts w:hint="default" w:ascii="宋体" w:hAnsi="宋体" w:eastAsia="宋体" w:cs="Times New Roman"/>
          <w:color w:val="auto"/>
          <w:kern w:val="2"/>
          <w:sz w:val="24"/>
          <w:szCs w:val="24"/>
          <w:lang w:val="en-US" w:eastAsia="zh-CN" w:bidi="ar-SA"/>
        </w:rPr>
        <w:t>2套太阳能路灯（新立杆）和</w:t>
      </w:r>
      <w:r>
        <w:rPr>
          <w:rFonts w:hint="eastAsia" w:ascii="宋体" w:hAnsi="宋体" w:eastAsia="宋体" w:cs="Times New Roman"/>
          <w:color w:val="auto"/>
          <w:kern w:val="2"/>
          <w:sz w:val="24"/>
          <w:szCs w:val="24"/>
          <w:lang w:val="en-US" w:eastAsia="zh-CN" w:bidi="ar-SA"/>
        </w:rPr>
        <w:t>536</w:t>
      </w:r>
      <w:r>
        <w:rPr>
          <w:rFonts w:hint="default" w:ascii="宋体" w:hAnsi="宋体" w:eastAsia="宋体" w:cs="Times New Roman"/>
          <w:color w:val="auto"/>
          <w:kern w:val="2"/>
          <w:sz w:val="24"/>
          <w:szCs w:val="24"/>
          <w:lang w:val="en-US" w:eastAsia="zh-CN" w:bidi="ar-SA"/>
        </w:rPr>
        <w:t>套太阳能路灯（借杆），具体详见采购</w:t>
      </w:r>
      <w:r>
        <w:rPr>
          <w:rFonts w:hint="eastAsia" w:ascii="宋体" w:hAnsi="宋体" w:eastAsia="宋体" w:cs="Times New Roman"/>
          <w:color w:val="auto"/>
          <w:kern w:val="2"/>
          <w:sz w:val="24"/>
          <w:szCs w:val="24"/>
          <w:lang w:val="en-US" w:eastAsia="zh-CN" w:bidi="ar-SA"/>
        </w:rPr>
        <w:t>需求一览表</w:t>
      </w:r>
      <w:r>
        <w:rPr>
          <w:rFonts w:hint="default" w:ascii="宋体" w:hAnsi="宋体" w:eastAsia="宋体" w:cs="Times New Roman"/>
          <w:color w:val="auto"/>
          <w:kern w:val="2"/>
          <w:sz w:val="24"/>
          <w:szCs w:val="24"/>
          <w:lang w:val="en-US" w:eastAsia="zh-CN" w:bidi="ar-SA"/>
        </w:rPr>
        <w:t>。</w:t>
      </w:r>
    </w:p>
    <w:p w14:paraId="2EEDC094">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jc w:val="center"/>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采购需求一览表</w:t>
      </w:r>
    </w:p>
    <w:tbl>
      <w:tblPr>
        <w:tblStyle w:val="8"/>
        <w:tblpPr w:leftFromText="180" w:rightFromText="180" w:vertAnchor="text" w:horzAnchor="page" w:tblpXSpec="center" w:tblpY="139"/>
        <w:tblOverlap w:val="never"/>
        <w:tblW w:w="10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491"/>
        <w:gridCol w:w="4695"/>
        <w:gridCol w:w="1020"/>
        <w:gridCol w:w="1080"/>
        <w:gridCol w:w="1557"/>
      </w:tblGrid>
      <w:tr w14:paraId="357A3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33" w:type="dxa"/>
            <w:shd w:val="clear" w:color="auto" w:fill="FFFFFF"/>
            <w:noWrap w:val="0"/>
            <w:vAlign w:val="center"/>
          </w:tcPr>
          <w:p w14:paraId="1447654B">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491" w:type="dxa"/>
            <w:shd w:val="clear" w:color="auto" w:fill="FFFFFF"/>
            <w:noWrap w:val="0"/>
            <w:vAlign w:val="center"/>
          </w:tcPr>
          <w:p w14:paraId="7CC62573">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货物名称</w:t>
            </w:r>
          </w:p>
        </w:tc>
        <w:tc>
          <w:tcPr>
            <w:tcW w:w="4695" w:type="dxa"/>
            <w:shd w:val="clear" w:color="auto" w:fill="FFFFFF"/>
            <w:noWrap w:val="0"/>
            <w:vAlign w:val="center"/>
          </w:tcPr>
          <w:p w14:paraId="6A9D48FF">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kern w:val="0"/>
                <w:sz w:val="21"/>
                <w:szCs w:val="21"/>
                <w:u w:val="none"/>
                <w:lang w:val="en-US" w:eastAsia="zh-CN" w:bidi="ar"/>
              </w:rPr>
              <w:t>技术参数</w:t>
            </w:r>
          </w:p>
        </w:tc>
        <w:tc>
          <w:tcPr>
            <w:tcW w:w="1020" w:type="dxa"/>
            <w:shd w:val="clear" w:color="auto" w:fill="FFFFFF"/>
            <w:noWrap w:val="0"/>
            <w:vAlign w:val="center"/>
          </w:tcPr>
          <w:p w14:paraId="1FD8F808">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单位</w:t>
            </w:r>
          </w:p>
        </w:tc>
        <w:tc>
          <w:tcPr>
            <w:tcW w:w="1080" w:type="dxa"/>
            <w:shd w:val="clear" w:color="auto" w:fill="FFFFFF"/>
            <w:noWrap w:val="0"/>
            <w:vAlign w:val="center"/>
          </w:tcPr>
          <w:p w14:paraId="66F4BC92">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数量</w:t>
            </w:r>
          </w:p>
        </w:tc>
        <w:tc>
          <w:tcPr>
            <w:tcW w:w="1557" w:type="dxa"/>
            <w:shd w:val="clear" w:color="auto" w:fill="FFFFFF"/>
            <w:noWrap w:val="0"/>
            <w:vAlign w:val="center"/>
          </w:tcPr>
          <w:p w14:paraId="6AF70A2E">
            <w:pPr>
              <w:keepNext w:val="0"/>
              <w:keepLines w:val="0"/>
              <w:pageBreakBefore w:val="0"/>
              <w:widowControl/>
              <w:kinsoku/>
              <w:wordWrap/>
              <w:overflowPunct/>
              <w:topLinePunct w:val="0"/>
              <w:autoSpaceDE/>
              <w:autoSpaceDN/>
              <w:bidi w:val="0"/>
              <w:adjustRightInd w:val="0"/>
              <w:snapToGrid w:val="0"/>
              <w:spacing w:after="0" w:line="240" w:lineRule="exact"/>
              <w:ind w:firstLine="0" w:firstLineChars="0"/>
              <w:jc w:val="center"/>
              <w:textAlignment w:val="auto"/>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参考图片</w:t>
            </w:r>
          </w:p>
        </w:tc>
      </w:tr>
      <w:tr w14:paraId="05638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833" w:type="dxa"/>
            <w:shd w:val="clear" w:color="auto" w:fill="FFFFFF"/>
            <w:noWrap w:val="0"/>
            <w:vAlign w:val="center"/>
          </w:tcPr>
          <w:p w14:paraId="07062747">
            <w:pPr>
              <w:jc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sz w:val="21"/>
                <w:szCs w:val="21"/>
              </w:rPr>
              <w:t>1</w:t>
            </w:r>
          </w:p>
        </w:tc>
        <w:tc>
          <w:tcPr>
            <w:tcW w:w="1491" w:type="dxa"/>
            <w:shd w:val="clear" w:color="auto" w:fill="FFFFFF"/>
            <w:noWrap w:val="0"/>
            <w:vAlign w:val="center"/>
          </w:tcPr>
          <w:p w14:paraId="29BF8A2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color w:val="000000"/>
                <w:kern w:val="0"/>
                <w:sz w:val="21"/>
                <w:szCs w:val="21"/>
                <w:highlight w:val="none"/>
                <w:lang w:bidi="ar"/>
              </w:rPr>
              <w:t>拆除</w:t>
            </w:r>
          </w:p>
        </w:tc>
        <w:tc>
          <w:tcPr>
            <w:tcW w:w="4695" w:type="dxa"/>
            <w:shd w:val="clear" w:color="auto" w:fill="FFFFFF"/>
            <w:noWrap w:val="0"/>
            <w:vAlign w:val="center"/>
          </w:tcPr>
          <w:p w14:paraId="0B3191BF">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1、原有路灯及配线等附件全部拆除（具体以采购人要求为准）。</w:t>
            </w:r>
          </w:p>
          <w:p w14:paraId="4A02DC0B">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2、拆除后按采购人要求在指定位置堆放整齐。</w:t>
            </w:r>
          </w:p>
          <w:p w14:paraId="040C4119">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color w:val="000000"/>
                <w:kern w:val="0"/>
                <w:sz w:val="21"/>
                <w:szCs w:val="21"/>
                <w:highlight w:val="none"/>
                <w:lang w:bidi="ar"/>
              </w:rPr>
              <w:t>3、拆</w:t>
            </w:r>
            <w:r>
              <w:rPr>
                <w:rFonts w:hint="eastAsia" w:ascii="宋体" w:hAnsi="宋体" w:eastAsia="宋体" w:cs="宋体"/>
                <w:color w:val="000000"/>
                <w:kern w:val="0"/>
                <w:sz w:val="21"/>
                <w:szCs w:val="21"/>
                <w:highlight w:val="none"/>
                <w:lang w:val="en-US" w:eastAsia="zh-CN" w:bidi="ar"/>
              </w:rPr>
              <w:t>除</w:t>
            </w:r>
            <w:r>
              <w:rPr>
                <w:rFonts w:hint="eastAsia" w:ascii="宋体" w:hAnsi="宋体" w:eastAsia="宋体" w:cs="宋体"/>
                <w:color w:val="000000"/>
                <w:kern w:val="0"/>
                <w:sz w:val="21"/>
                <w:szCs w:val="21"/>
                <w:highlight w:val="none"/>
                <w:lang w:bidi="ar"/>
              </w:rPr>
              <w:t>的灯及配线等附件全部归采购人所有。</w:t>
            </w:r>
          </w:p>
        </w:tc>
        <w:tc>
          <w:tcPr>
            <w:tcW w:w="1020" w:type="dxa"/>
            <w:shd w:val="clear" w:color="auto" w:fill="FFFFFF"/>
            <w:noWrap w:val="0"/>
            <w:vAlign w:val="center"/>
          </w:tcPr>
          <w:p w14:paraId="19880FAB">
            <w:pPr>
              <w:jc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sz w:val="21"/>
                <w:szCs w:val="21"/>
              </w:rPr>
              <w:t>项</w:t>
            </w:r>
          </w:p>
        </w:tc>
        <w:tc>
          <w:tcPr>
            <w:tcW w:w="1080" w:type="dxa"/>
            <w:shd w:val="clear" w:color="auto" w:fill="FFFFFF"/>
            <w:noWrap w:val="0"/>
            <w:vAlign w:val="center"/>
          </w:tcPr>
          <w:p w14:paraId="78CE58B4">
            <w:pPr>
              <w:jc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sz w:val="21"/>
                <w:szCs w:val="21"/>
              </w:rPr>
              <w:t>1</w:t>
            </w:r>
          </w:p>
        </w:tc>
        <w:tc>
          <w:tcPr>
            <w:tcW w:w="1557" w:type="dxa"/>
            <w:shd w:val="clear" w:color="auto" w:fill="FFFFFF"/>
            <w:noWrap w:val="0"/>
            <w:vAlign w:val="center"/>
          </w:tcPr>
          <w:p w14:paraId="6743C1AC">
            <w:pPr>
              <w:bidi w:val="0"/>
              <w:jc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color w:val="000000"/>
                <w:sz w:val="21"/>
                <w:szCs w:val="21"/>
                <w:vertAlign w:val="baseline"/>
                <w:lang w:val="en-US" w:eastAsia="zh-CN"/>
              </w:rPr>
              <w:t>/</w:t>
            </w:r>
          </w:p>
        </w:tc>
      </w:tr>
      <w:tr w14:paraId="0CDF3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0" w:hRule="atLeast"/>
          <w:jc w:val="center"/>
        </w:trPr>
        <w:tc>
          <w:tcPr>
            <w:tcW w:w="833" w:type="dxa"/>
            <w:shd w:val="clear" w:color="auto" w:fill="FFFFFF"/>
            <w:noWrap w:val="0"/>
            <w:vAlign w:val="center"/>
          </w:tcPr>
          <w:p w14:paraId="24F6BB43">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w:t>
            </w:r>
          </w:p>
        </w:tc>
        <w:tc>
          <w:tcPr>
            <w:tcW w:w="1491" w:type="dxa"/>
            <w:shd w:val="clear" w:color="auto" w:fill="FFFFFF"/>
            <w:noWrap w:val="0"/>
            <w:vAlign w:val="center"/>
          </w:tcPr>
          <w:p w14:paraId="7A2842C0">
            <w:pPr>
              <w:keepNext w:val="0"/>
              <w:keepLines w:val="0"/>
              <w:pageBreakBefore w:val="0"/>
              <w:widowControl/>
              <w:suppressLineNumbers w:val="0"/>
              <w:kinsoku/>
              <w:wordWrap/>
              <w:overflowPunct/>
              <w:topLinePunct w:val="0"/>
              <w:autoSpaceDE/>
              <w:autoSpaceDN/>
              <w:bidi w:val="0"/>
              <w:adjustRightInd/>
              <w:snapToGrid/>
              <w:spacing w:after="0" w:line="30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太阳能路灯（新立杆）</w:t>
            </w:r>
          </w:p>
        </w:tc>
        <w:tc>
          <w:tcPr>
            <w:tcW w:w="4695" w:type="dxa"/>
            <w:shd w:val="clear" w:color="auto" w:fill="FFFFFF"/>
            <w:noWrap w:val="0"/>
            <w:vAlign w:val="center"/>
          </w:tcPr>
          <w:p w14:paraId="3740E0D1">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 xml:space="preserve">1、灯杆： </w:t>
            </w:r>
          </w:p>
          <w:p w14:paraId="594EBA53">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 xml:space="preserve">灯杆高5米，材质为Q235,主杆上口径60mm，下口径140mm，壁厚2.5mm。出臂1米。 </w:t>
            </w:r>
          </w:p>
          <w:p w14:paraId="69356DC6">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 xml:space="preserve">2、灯具： </w:t>
            </w:r>
          </w:p>
          <w:p w14:paraId="50503D0B">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 xml:space="preserve">▲光源功率 60W(±1W)。 </w:t>
            </w:r>
          </w:p>
          <w:p w14:paraId="4DDE4B0D">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 xml:space="preserve">▲显色指数＞80。 </w:t>
            </w:r>
          </w:p>
          <w:p w14:paraId="19DB12EF">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 xml:space="preserve">▲色温6500K(±100K)。 </w:t>
            </w:r>
          </w:p>
          <w:p w14:paraId="7852EDCD">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 xml:space="preserve">▲灯具尺寸：520*205*95mm。 </w:t>
            </w:r>
          </w:p>
          <w:p w14:paraId="1F3AC6B6">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 xml:space="preserve">▲防护等级IP65。 </w:t>
            </w:r>
          </w:p>
          <w:p w14:paraId="16BF176B">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 xml:space="preserve">▲符合 GB7000.203（GB7000.1）标准耐久性和热试验。 </w:t>
            </w:r>
          </w:p>
          <w:p w14:paraId="67DDF82E">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 xml:space="preserve">外壳采用全铝压铸、全密封构、外表光滑，灯具结构设计合理、强度高。平均寿命＞50000小时。光衰＜3%，性能稳定。 </w:t>
            </w:r>
          </w:p>
          <w:p w14:paraId="3E360C16">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3、电池板：</w:t>
            </w:r>
          </w:p>
          <w:p w14:paraId="0E4E6322">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 xml:space="preserve">太阳能光伏板，▲功率≥100W（+5%内）。多晶硅，转换率＞18%，4时段控制功能。可变功率，有过充过放及防反接功能，平均寿命≥10年。 </w:t>
            </w:r>
          </w:p>
          <w:p w14:paraId="1E1F7DFC">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4、蓄电池：</w:t>
            </w:r>
          </w:p>
          <w:p w14:paraId="1D5B3021">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 xml:space="preserve">太阳能专用锂电池，▲额定容量≥50AH（+5%内）。 灯头内置，寿命≥10年。 </w:t>
            </w:r>
          </w:p>
          <w:p w14:paraId="3F836F29">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亮灯时间：12小时。</w:t>
            </w:r>
          </w:p>
          <w:p w14:paraId="72678F48">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 xml:space="preserve">5、基础：500*500*800mm，C30混凝土（含基础预埋件）（最终以灯具厂家尺寸为准）。               </w:t>
            </w:r>
          </w:p>
        </w:tc>
        <w:tc>
          <w:tcPr>
            <w:tcW w:w="1020" w:type="dxa"/>
            <w:shd w:val="clear" w:color="auto" w:fill="FFFFFF"/>
            <w:noWrap w:val="0"/>
            <w:vAlign w:val="center"/>
          </w:tcPr>
          <w:p w14:paraId="267E6DDE">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套</w:t>
            </w:r>
          </w:p>
        </w:tc>
        <w:tc>
          <w:tcPr>
            <w:tcW w:w="1080" w:type="dxa"/>
            <w:shd w:val="clear" w:color="auto" w:fill="FFFFFF"/>
            <w:noWrap w:val="0"/>
            <w:vAlign w:val="center"/>
          </w:tcPr>
          <w:p w14:paraId="4F528713">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22</w:t>
            </w:r>
          </w:p>
        </w:tc>
        <w:tc>
          <w:tcPr>
            <w:tcW w:w="1557" w:type="dxa"/>
            <w:shd w:val="clear" w:color="auto" w:fill="FFFFFF"/>
            <w:noWrap w:val="0"/>
            <w:vAlign w:val="center"/>
          </w:tcPr>
          <w:p w14:paraId="26AC43C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drawing>
                <wp:inline distT="0" distB="0" distL="114300" distR="114300">
                  <wp:extent cx="782320" cy="1831340"/>
                  <wp:effectExtent l="0" t="0" r="17780" b="16510"/>
                  <wp:docPr id="3" name="图片 3"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2"/>
                          <pic:cNvPicPr>
                            <a:picLocks noChangeAspect="1"/>
                          </pic:cNvPicPr>
                        </pic:nvPicPr>
                        <pic:blipFill>
                          <a:blip r:embed="rId5"/>
                          <a:stretch>
                            <a:fillRect/>
                          </a:stretch>
                        </pic:blipFill>
                        <pic:spPr>
                          <a:xfrm>
                            <a:off x="0" y="0"/>
                            <a:ext cx="782320" cy="1831340"/>
                          </a:xfrm>
                          <a:prstGeom prst="rect">
                            <a:avLst/>
                          </a:prstGeom>
                        </pic:spPr>
                      </pic:pic>
                    </a:graphicData>
                  </a:graphic>
                </wp:inline>
              </w:drawing>
            </w:r>
          </w:p>
        </w:tc>
      </w:tr>
      <w:tr w14:paraId="41E3E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5" w:hRule="atLeast"/>
          <w:jc w:val="center"/>
        </w:trPr>
        <w:tc>
          <w:tcPr>
            <w:tcW w:w="833" w:type="dxa"/>
            <w:shd w:val="clear" w:color="auto" w:fill="FFFFFF"/>
            <w:noWrap w:val="0"/>
            <w:vAlign w:val="center"/>
          </w:tcPr>
          <w:p w14:paraId="7CC99AF0">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3</w:t>
            </w:r>
          </w:p>
        </w:tc>
        <w:tc>
          <w:tcPr>
            <w:tcW w:w="1491" w:type="dxa"/>
            <w:shd w:val="clear" w:color="auto" w:fill="FFFFFF"/>
            <w:noWrap w:val="0"/>
            <w:vAlign w:val="center"/>
          </w:tcPr>
          <w:p w14:paraId="631F8557">
            <w:pPr>
              <w:keepNext w:val="0"/>
              <w:keepLines w:val="0"/>
              <w:pageBreakBefore w:val="0"/>
              <w:widowControl/>
              <w:suppressLineNumbers w:val="0"/>
              <w:kinsoku/>
              <w:wordWrap/>
              <w:overflowPunct/>
              <w:topLinePunct w:val="0"/>
              <w:autoSpaceDE/>
              <w:autoSpaceDN/>
              <w:bidi w:val="0"/>
              <w:adjustRightInd/>
              <w:snapToGrid/>
              <w:spacing w:after="0" w:line="30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太阳能路灯（借杆）</w:t>
            </w:r>
          </w:p>
        </w:tc>
        <w:tc>
          <w:tcPr>
            <w:tcW w:w="4695" w:type="dxa"/>
            <w:shd w:val="clear" w:color="auto" w:fill="FFFFFF"/>
            <w:noWrap w:val="0"/>
            <w:vAlign w:val="center"/>
          </w:tcPr>
          <w:p w14:paraId="192C8F64">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1、灯杆：借杆（材质等报价人自行踏勘现场）。</w:t>
            </w:r>
          </w:p>
          <w:p w14:paraId="561496F2">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2、灯具：</w:t>
            </w:r>
          </w:p>
          <w:p w14:paraId="7E91C73E">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 xml:space="preserve">▲光源功率 60W(±1W)。 </w:t>
            </w:r>
          </w:p>
          <w:p w14:paraId="5D75FEA6">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 xml:space="preserve">▲显色指数＞80。 </w:t>
            </w:r>
          </w:p>
          <w:p w14:paraId="5334641C">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 xml:space="preserve">▲色温6500K(±100K)。 </w:t>
            </w:r>
          </w:p>
          <w:p w14:paraId="31BD9A59">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 xml:space="preserve">▲灯具尺寸：520*205*95mm。 </w:t>
            </w:r>
          </w:p>
          <w:p w14:paraId="4EC0EEAA">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 xml:space="preserve">▲防护等级IP65。 </w:t>
            </w:r>
          </w:p>
          <w:p w14:paraId="452F453F">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 xml:space="preserve">▲符合 GB7000.203（GB7000.1）标准耐久性和热试验。 </w:t>
            </w:r>
          </w:p>
          <w:p w14:paraId="31700F2A">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 xml:space="preserve">外壳采用全铝压铸、全密封构、外表 光滑，灯具结构设计合理、强度高。平均寿命＞50000小时。光衰＜3%，性能稳定。 </w:t>
            </w:r>
          </w:p>
          <w:p w14:paraId="6F52E0CF">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 xml:space="preserve">3、蓄电池：太阳能专用锂电池，▲额定容量≥50AH（+5%内）。 灯头内置，寿命≥10年。 </w:t>
            </w:r>
          </w:p>
          <w:p w14:paraId="33AED9DE">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亮灯时间：12小时。</w:t>
            </w:r>
          </w:p>
          <w:p w14:paraId="7E33DCD4">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4、电池板：太阳能光伏板，▲功率≥100W（+5%内）。 多晶硅，转换率＞18%，4时段控制功能。可变功率，有过充过放及防反接功能，平均寿命≥10年。</w:t>
            </w:r>
          </w:p>
          <w:p w14:paraId="4E76D0FE">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5、支架：采用Q235优质钢材,口径为60圆管，壁厚≥2.3mm，壁长1m，底部焊接固定底座；整体热镀锌，静电喷塑防腐处理，含太阳能支架、抱箍、配件等。</w:t>
            </w:r>
          </w:p>
        </w:tc>
        <w:tc>
          <w:tcPr>
            <w:tcW w:w="1020" w:type="dxa"/>
            <w:shd w:val="clear" w:color="auto" w:fill="FFFFFF"/>
            <w:noWrap w:val="0"/>
            <w:vAlign w:val="center"/>
          </w:tcPr>
          <w:p w14:paraId="192A9876">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套</w:t>
            </w:r>
          </w:p>
        </w:tc>
        <w:tc>
          <w:tcPr>
            <w:tcW w:w="1080" w:type="dxa"/>
            <w:shd w:val="clear" w:color="auto" w:fill="FFFFFF"/>
            <w:noWrap w:val="0"/>
            <w:vAlign w:val="center"/>
          </w:tcPr>
          <w:p w14:paraId="1419E8DB">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536</w:t>
            </w:r>
          </w:p>
        </w:tc>
        <w:tc>
          <w:tcPr>
            <w:tcW w:w="1557" w:type="dxa"/>
            <w:shd w:val="clear" w:color="auto" w:fill="FFFFFF"/>
            <w:noWrap w:val="0"/>
            <w:vAlign w:val="center"/>
          </w:tcPr>
          <w:p w14:paraId="57E48F2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drawing>
                <wp:inline distT="0" distB="0" distL="114300" distR="114300">
                  <wp:extent cx="692785" cy="429895"/>
                  <wp:effectExtent l="0" t="0" r="12065" b="825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6"/>
                          <a:stretch>
                            <a:fillRect/>
                          </a:stretch>
                        </pic:blipFill>
                        <pic:spPr>
                          <a:xfrm>
                            <a:off x="0" y="0"/>
                            <a:ext cx="692785" cy="429895"/>
                          </a:xfrm>
                          <a:prstGeom prst="rect">
                            <a:avLst/>
                          </a:prstGeom>
                        </pic:spPr>
                      </pic:pic>
                    </a:graphicData>
                  </a:graphic>
                </wp:inline>
              </w:drawing>
            </w:r>
          </w:p>
        </w:tc>
      </w:tr>
      <w:tr w14:paraId="03F57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5" w:hRule="atLeast"/>
          <w:jc w:val="center"/>
        </w:trPr>
        <w:tc>
          <w:tcPr>
            <w:tcW w:w="10676" w:type="dxa"/>
            <w:gridSpan w:val="6"/>
            <w:shd w:val="clear" w:color="auto" w:fill="FFFFFF"/>
            <w:noWrap w:val="0"/>
            <w:vAlign w:val="center"/>
          </w:tcPr>
          <w:p w14:paraId="3C0F9A25">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备注：</w:t>
            </w:r>
          </w:p>
          <w:p w14:paraId="7CFF903D">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1、上述带“▲”为主要规格参数，报价时须提供国家电光源质量监督检验中心或国家电光源质量检验检测中心出具的样品灯具，国家光伏产品质量检验检测中心出具的样品锂电池、光伏板产品检测报告复印件并加盖投标单位公章【检测报告的封面必须带有 CMA及 CNAS 标志、有电子版报告的二维码、内页附有样品照片及外形尺寸】，且报告中参数指标涵盖“▲”采购要求。灯具的外观与样品图要求的外观一致，尺寸大小允许偏差在±5%以内 （含±5%）。</w:t>
            </w:r>
          </w:p>
          <w:p w14:paraId="57C67544">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2、路灯拆除不按数量计算，所有需要拆除的路灯均计入拆除一项中，供应商成交后不得因此提出增加拆除费用的要求，所产生的所有风险由供应商自行承担。成交供应商在拆除原有路灯及配线等附件时，不得暴力拆除，不得破坏灯杆，不得破坏原有路灯等。</w:t>
            </w:r>
          </w:p>
          <w:p w14:paraId="4868FAC0">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3、请供应商实地考察现场，综合考虑各种因素后报价。</w:t>
            </w:r>
          </w:p>
          <w:p w14:paraId="4F06D3A5">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4、采购标准要求以采购要求、相关国家标准为准，在标准和采购要求不一致时，按要求高的标准执行。</w:t>
            </w:r>
          </w:p>
          <w:p w14:paraId="1AE87ABB">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5、成交供应商提供的所有货物都必须为全新的原厂正品，不接受翻新产品，一经查实，取消成交资格，并列入采购人的采购黑名单，同时对成交供应商及负责人追究相关法律责任。</w:t>
            </w:r>
          </w:p>
          <w:p w14:paraId="784DDFA6">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6、成交供应商提供的所有货物及包装、标签、标识都应符合国家相关规定要求，且须在采购人指定地点和规定时间内将货物运送至指定地点完成安装并调试至最佳使用状态，运输、装卸、堆放、安装货物时需考虑货物的结构、承重等，不得因装卸、堆放、安装不当等发生货物被压变形或损坏等情况的发生，如发生货物变形或损坏，由成交供应商提供免费换货并免费运送至指定地点完成安装、调试，必须确保路灯可以正常进行使用。</w:t>
            </w:r>
          </w:p>
          <w:p w14:paraId="2BCBDD82">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7、供应商报价的所有路灯产品必须为同一品牌，并且须在报价表上明确所投太阳能路灯产品的品牌及型号，否则视为无效响应。</w:t>
            </w:r>
          </w:p>
          <w:p w14:paraId="5234284B">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8、以上太阳能路灯的数量为暂定，实际安装数量以采购人的实际需求为准。按实结算。</w:t>
            </w:r>
          </w:p>
        </w:tc>
      </w:tr>
    </w:tbl>
    <w:p w14:paraId="0EB838E7">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ascii="宋体" w:hAnsi="宋体" w:cs="黑体"/>
          <w:b/>
          <w:bCs/>
          <w:color w:val="auto"/>
          <w:sz w:val="24"/>
          <w:szCs w:val="24"/>
        </w:rPr>
      </w:pPr>
      <w:r>
        <w:rPr>
          <w:rFonts w:hint="eastAsia" w:ascii="宋体" w:hAnsi="宋体" w:cs="黑体"/>
          <w:b/>
          <w:bCs/>
          <w:color w:val="auto"/>
          <w:sz w:val="24"/>
          <w:szCs w:val="24"/>
          <w:lang w:val="en-US" w:eastAsia="zh-CN"/>
        </w:rPr>
        <w:t>二</w:t>
      </w:r>
      <w:r>
        <w:rPr>
          <w:rFonts w:hint="eastAsia" w:ascii="宋体" w:hAnsi="宋体" w:cs="黑体"/>
          <w:b/>
          <w:bCs/>
          <w:color w:val="auto"/>
          <w:sz w:val="24"/>
          <w:szCs w:val="24"/>
        </w:rPr>
        <w:t>、</w:t>
      </w:r>
      <w:r>
        <w:rPr>
          <w:rFonts w:ascii="宋体" w:hAnsi="宋体" w:cs="黑体"/>
          <w:b/>
          <w:bCs/>
          <w:color w:val="auto"/>
          <w:sz w:val="24"/>
          <w:szCs w:val="24"/>
        </w:rPr>
        <w:t>报价供应商的要求</w:t>
      </w:r>
    </w:p>
    <w:p w14:paraId="08B7210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黑体"/>
          <w:color w:val="auto"/>
          <w:sz w:val="24"/>
          <w:szCs w:val="24"/>
        </w:rPr>
      </w:pPr>
      <w:r>
        <w:rPr>
          <w:rFonts w:ascii="宋体" w:hAnsi="宋体" w:cs="黑体"/>
          <w:color w:val="auto"/>
          <w:sz w:val="24"/>
          <w:szCs w:val="24"/>
        </w:rPr>
        <w:t>1</w:t>
      </w:r>
      <w:r>
        <w:rPr>
          <w:rFonts w:hint="eastAsia" w:ascii="宋体" w:hAnsi="宋体" w:cs="黑体"/>
          <w:color w:val="auto"/>
          <w:sz w:val="24"/>
          <w:szCs w:val="24"/>
        </w:rPr>
        <w:t>.</w:t>
      </w:r>
      <w:r>
        <w:rPr>
          <w:rFonts w:ascii="宋体" w:hAnsi="宋体" w:cs="黑体"/>
          <w:color w:val="auto"/>
          <w:sz w:val="24"/>
          <w:szCs w:val="24"/>
        </w:rPr>
        <w:t>符合《中华人民共和国政府采购法》第二十二条的规定；</w:t>
      </w:r>
    </w:p>
    <w:p w14:paraId="021A17E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黑体"/>
          <w:color w:val="auto"/>
          <w:sz w:val="24"/>
          <w:szCs w:val="24"/>
        </w:rPr>
      </w:pPr>
      <w:r>
        <w:rPr>
          <w:rFonts w:ascii="宋体" w:hAnsi="宋体" w:cs="黑体"/>
          <w:color w:val="auto"/>
          <w:sz w:val="24"/>
          <w:szCs w:val="24"/>
        </w:rPr>
        <w:t>2</w:t>
      </w:r>
      <w:r>
        <w:rPr>
          <w:rFonts w:hint="eastAsia" w:ascii="宋体" w:hAnsi="宋体" w:cs="黑体"/>
          <w:color w:val="auto"/>
          <w:sz w:val="24"/>
          <w:szCs w:val="24"/>
        </w:rPr>
        <w:t>.</w:t>
      </w:r>
      <w:r>
        <w:rPr>
          <w:rFonts w:ascii="宋体" w:hAnsi="宋体" w:cs="黑体"/>
          <w:color w:val="auto"/>
          <w:sz w:val="24"/>
          <w:szCs w:val="24"/>
        </w:rPr>
        <w:t>报价供应商具有有效的营业执照</w:t>
      </w:r>
      <w:r>
        <w:rPr>
          <w:rFonts w:hint="eastAsia" w:ascii="宋体" w:hAnsi="宋体" w:cs="黑体"/>
          <w:color w:val="auto"/>
          <w:sz w:val="24"/>
          <w:szCs w:val="24"/>
        </w:rPr>
        <w:t>。</w:t>
      </w:r>
    </w:p>
    <w:p w14:paraId="0EBF20F1">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ascii="宋体" w:hAnsi="宋体" w:cs="黑体"/>
          <w:b/>
          <w:bCs/>
          <w:color w:val="auto"/>
          <w:sz w:val="24"/>
          <w:szCs w:val="24"/>
        </w:rPr>
      </w:pPr>
      <w:r>
        <w:rPr>
          <w:rFonts w:hint="eastAsia" w:ascii="宋体" w:hAnsi="宋体" w:cs="黑体"/>
          <w:b/>
          <w:bCs/>
          <w:color w:val="auto"/>
          <w:sz w:val="24"/>
          <w:szCs w:val="24"/>
          <w:lang w:val="en-US" w:eastAsia="zh-CN"/>
        </w:rPr>
        <w:t>三</w:t>
      </w:r>
      <w:r>
        <w:rPr>
          <w:rFonts w:hint="eastAsia" w:ascii="宋体" w:hAnsi="宋体" w:cs="黑体"/>
          <w:b/>
          <w:bCs/>
          <w:color w:val="auto"/>
          <w:sz w:val="24"/>
          <w:szCs w:val="24"/>
        </w:rPr>
        <w:t>、约定事项</w:t>
      </w:r>
    </w:p>
    <w:p w14:paraId="2B88DF6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bCs/>
          <w:color w:val="auto"/>
          <w:sz w:val="24"/>
          <w:szCs w:val="24"/>
          <w:u w:val="single"/>
          <w:lang w:val="en-US" w:eastAsia="zh-CN"/>
        </w:rPr>
      </w:pPr>
      <w:r>
        <w:rPr>
          <w:rFonts w:hint="eastAsia" w:ascii="宋体" w:hAnsi="宋体"/>
          <w:bCs/>
          <w:color w:val="auto"/>
          <w:sz w:val="24"/>
          <w:szCs w:val="24"/>
        </w:rPr>
        <w:t>1.</w:t>
      </w:r>
      <w:r>
        <w:rPr>
          <w:rFonts w:hint="eastAsia" w:ascii="宋体" w:hAnsi="宋体"/>
          <w:bCs/>
          <w:color w:val="auto"/>
          <w:sz w:val="24"/>
          <w:szCs w:val="24"/>
          <w:lang w:val="en-US" w:eastAsia="zh-CN"/>
        </w:rPr>
        <w:t>参与报价的单位需将</w:t>
      </w:r>
      <w:r>
        <w:rPr>
          <w:rFonts w:hint="eastAsia" w:ascii="宋体" w:hAnsi="宋体"/>
          <w:b/>
          <w:bCs w:val="0"/>
          <w:color w:val="auto"/>
          <w:sz w:val="24"/>
          <w:szCs w:val="24"/>
          <w:lang w:val="en-US" w:eastAsia="zh-CN"/>
        </w:rPr>
        <w:t>营业执照复印件、市场询价报价单</w:t>
      </w:r>
      <w:r>
        <w:rPr>
          <w:rFonts w:hint="eastAsia" w:ascii="宋体" w:hAnsi="宋体"/>
          <w:bCs/>
          <w:color w:val="auto"/>
          <w:sz w:val="24"/>
          <w:szCs w:val="24"/>
          <w:lang w:val="en-US" w:eastAsia="zh-CN"/>
        </w:rPr>
        <w:t>及其他相关资料（如有）</w:t>
      </w:r>
      <w:r>
        <w:rPr>
          <w:rFonts w:hint="eastAsia" w:ascii="宋体" w:hAnsi="宋体"/>
          <w:b/>
          <w:bCs w:val="0"/>
          <w:color w:val="auto"/>
          <w:sz w:val="24"/>
          <w:szCs w:val="24"/>
          <w:lang w:val="en-US" w:eastAsia="zh-CN"/>
        </w:rPr>
        <w:t>加盖单位公章</w:t>
      </w:r>
      <w:r>
        <w:rPr>
          <w:rFonts w:hint="eastAsia" w:ascii="宋体" w:hAnsi="宋体"/>
          <w:bCs/>
          <w:color w:val="auto"/>
          <w:sz w:val="24"/>
          <w:szCs w:val="24"/>
          <w:lang w:val="en-US" w:eastAsia="zh-CN"/>
        </w:rPr>
        <w:t>，于</w:t>
      </w:r>
      <w:r>
        <w:rPr>
          <w:rFonts w:hint="eastAsia" w:ascii="宋体" w:hAnsi="宋体"/>
          <w:bCs/>
          <w:color w:val="auto"/>
          <w:sz w:val="24"/>
          <w:szCs w:val="24"/>
          <w:u w:val="single"/>
          <w:lang w:val="en-US" w:eastAsia="zh-CN"/>
        </w:rPr>
        <w:t>2025</w:t>
      </w:r>
      <w:r>
        <w:rPr>
          <w:rFonts w:hint="eastAsia" w:ascii="宋体" w:hAnsi="宋体"/>
          <w:bCs/>
          <w:color w:val="auto"/>
          <w:sz w:val="24"/>
          <w:szCs w:val="24"/>
          <w:lang w:val="en-US" w:eastAsia="zh-CN"/>
        </w:rPr>
        <w:t>年</w:t>
      </w:r>
      <w:r>
        <w:rPr>
          <w:rFonts w:hint="eastAsia" w:ascii="宋体" w:hAnsi="宋体"/>
          <w:bCs/>
          <w:color w:val="auto"/>
          <w:sz w:val="24"/>
          <w:szCs w:val="24"/>
          <w:u w:val="single"/>
          <w:lang w:val="en-US" w:eastAsia="zh-CN"/>
        </w:rPr>
        <w:t xml:space="preserve"> 6</w:t>
      </w:r>
      <w:r>
        <w:rPr>
          <w:rFonts w:hint="eastAsia" w:ascii="宋体" w:hAnsi="宋体"/>
          <w:bCs/>
          <w:color w:val="auto"/>
          <w:sz w:val="24"/>
          <w:szCs w:val="24"/>
          <w:lang w:val="en-US" w:eastAsia="zh-CN"/>
        </w:rPr>
        <w:t>月</w:t>
      </w:r>
      <w:r>
        <w:rPr>
          <w:rFonts w:hint="eastAsia" w:ascii="宋体" w:hAnsi="宋体"/>
          <w:bCs/>
          <w:color w:val="auto"/>
          <w:sz w:val="24"/>
          <w:szCs w:val="24"/>
          <w:u w:val="single"/>
          <w:lang w:val="en-US" w:eastAsia="zh-CN"/>
        </w:rPr>
        <w:t xml:space="preserve"> 17</w:t>
      </w:r>
      <w:r>
        <w:rPr>
          <w:rFonts w:hint="eastAsia" w:ascii="宋体" w:hAnsi="宋体"/>
          <w:bCs/>
          <w:color w:val="auto"/>
          <w:sz w:val="24"/>
          <w:szCs w:val="24"/>
          <w:lang w:val="en-US" w:eastAsia="zh-CN"/>
        </w:rPr>
        <w:t>日</w:t>
      </w:r>
      <w:r>
        <w:rPr>
          <w:rFonts w:hint="eastAsia" w:ascii="宋体" w:hAnsi="宋体"/>
          <w:bCs/>
          <w:color w:val="auto"/>
          <w:sz w:val="24"/>
          <w:szCs w:val="24"/>
          <w:u w:val="single"/>
          <w:lang w:val="en-US" w:eastAsia="zh-CN"/>
        </w:rPr>
        <w:t>17:00</w:t>
      </w:r>
      <w:r>
        <w:rPr>
          <w:rFonts w:hint="eastAsia" w:ascii="宋体" w:hAnsi="宋体"/>
          <w:bCs/>
          <w:color w:val="auto"/>
          <w:sz w:val="24"/>
          <w:szCs w:val="24"/>
          <w:lang w:val="en-US" w:eastAsia="zh-CN"/>
        </w:rPr>
        <w:t>前，送或寄（以邮戳为准）至江苏省启东市汇龙镇人民中路972号明天商务广场302室，联系人：倪女士，联系电话：18994297769。或发送电子扫描件至</w:t>
      </w:r>
      <w:r>
        <w:rPr>
          <w:rFonts w:hint="eastAsia" w:ascii="宋体" w:hAnsi="宋体"/>
          <w:bCs/>
          <w:color w:val="auto"/>
          <w:sz w:val="24"/>
          <w:szCs w:val="24"/>
          <w:u w:val="single"/>
          <w:lang w:val="en-US" w:eastAsia="zh-CN"/>
        </w:rPr>
        <w:t>18901481738@163.com</w:t>
      </w:r>
      <w:r>
        <w:rPr>
          <w:rFonts w:hint="eastAsia" w:ascii="宋体" w:hAnsi="宋体"/>
          <w:bCs/>
          <w:color w:val="auto"/>
          <w:sz w:val="24"/>
          <w:szCs w:val="24"/>
          <w:u w:val="none"/>
          <w:lang w:val="en-US" w:eastAsia="zh-CN"/>
        </w:rPr>
        <w:t>邮箱。</w:t>
      </w:r>
    </w:p>
    <w:p w14:paraId="58C6629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黑体"/>
          <w:color w:val="auto"/>
          <w:sz w:val="24"/>
          <w:szCs w:val="24"/>
          <w:lang w:eastAsia="zh-CN"/>
        </w:rPr>
      </w:pPr>
      <w:r>
        <w:rPr>
          <w:rFonts w:hint="eastAsia" w:ascii="宋体" w:hAnsi="宋体" w:cs="黑体"/>
          <w:color w:val="auto"/>
          <w:sz w:val="24"/>
          <w:szCs w:val="24"/>
        </w:rPr>
        <w:t>2.</w:t>
      </w:r>
      <w:r>
        <w:rPr>
          <w:rFonts w:hint="eastAsia" w:ascii="宋体" w:hAnsi="宋体" w:cs="黑体"/>
          <w:color w:val="auto"/>
          <w:sz w:val="24"/>
          <w:szCs w:val="24"/>
          <w:lang w:val="en-US" w:eastAsia="zh-CN"/>
        </w:rPr>
        <w:t>上述采购要求为最低要求，不得负偏离，否则视为无效报价</w:t>
      </w:r>
      <w:r>
        <w:rPr>
          <w:rFonts w:hint="eastAsia" w:ascii="宋体" w:hAnsi="宋体" w:cs="黑体"/>
          <w:color w:val="auto"/>
          <w:sz w:val="24"/>
          <w:szCs w:val="24"/>
          <w:lang w:eastAsia="zh-CN"/>
        </w:rPr>
        <w:t>。</w:t>
      </w:r>
    </w:p>
    <w:p w14:paraId="2853076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黑体"/>
          <w:color w:val="auto"/>
          <w:sz w:val="24"/>
          <w:szCs w:val="24"/>
          <w:lang w:eastAsia="zh-CN"/>
        </w:rPr>
      </w:pPr>
      <w:r>
        <w:rPr>
          <w:rFonts w:hint="eastAsia" w:ascii="宋体" w:hAnsi="宋体" w:cs="黑体"/>
          <w:color w:val="auto"/>
          <w:sz w:val="24"/>
          <w:szCs w:val="24"/>
        </w:rPr>
        <w:t>3.</w:t>
      </w:r>
      <w:r>
        <w:rPr>
          <w:rFonts w:hint="eastAsia" w:ascii="宋体" w:hAnsi="宋体" w:cs="黑体"/>
          <w:color w:val="auto"/>
          <w:sz w:val="24"/>
          <w:szCs w:val="24"/>
          <w:lang w:val="en-US" w:eastAsia="zh-CN"/>
        </w:rPr>
        <w:t>质保要求：自验收合格之日起不少于三年（如原厂质保期更久则根据原厂质保期）</w:t>
      </w:r>
      <w:r>
        <w:rPr>
          <w:rFonts w:hint="eastAsia" w:ascii="宋体" w:hAnsi="宋体" w:cs="黑体"/>
          <w:color w:val="auto"/>
          <w:sz w:val="24"/>
          <w:szCs w:val="24"/>
          <w:lang w:eastAsia="zh-CN"/>
        </w:rPr>
        <w:t>。</w:t>
      </w:r>
    </w:p>
    <w:p w14:paraId="1FFFFB9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黑体"/>
          <w:color w:val="auto"/>
          <w:sz w:val="24"/>
          <w:szCs w:val="24"/>
          <w:lang w:val="en-US" w:eastAsia="zh-CN"/>
        </w:rPr>
      </w:pPr>
      <w:r>
        <w:rPr>
          <w:rFonts w:hint="eastAsia" w:ascii="宋体" w:hAnsi="宋体" w:cs="黑体"/>
          <w:color w:val="auto"/>
          <w:sz w:val="24"/>
          <w:szCs w:val="24"/>
        </w:rPr>
        <w:t>4.</w:t>
      </w:r>
      <w:r>
        <w:rPr>
          <w:rFonts w:hint="eastAsia" w:ascii="宋体" w:hAnsi="宋体" w:cs="黑体"/>
          <w:color w:val="auto"/>
          <w:sz w:val="24"/>
          <w:szCs w:val="24"/>
          <w:lang w:val="en-US" w:eastAsia="zh-CN"/>
        </w:rPr>
        <w:t>报价要求</w:t>
      </w:r>
    </w:p>
    <w:p w14:paraId="0AE2EA9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bCs/>
          <w:color w:val="auto"/>
          <w:sz w:val="24"/>
          <w:szCs w:val="24"/>
          <w:lang w:val="en-US" w:eastAsia="zh-CN"/>
        </w:rPr>
      </w:pPr>
      <w:r>
        <w:rPr>
          <w:rFonts w:hint="eastAsia" w:ascii="宋体" w:hAnsi="宋体"/>
          <w:bCs/>
          <w:color w:val="auto"/>
          <w:sz w:val="24"/>
          <w:szCs w:val="24"/>
          <w:lang w:val="en-US" w:eastAsia="zh-CN"/>
        </w:rPr>
        <w:t>本项目采用固定全费用综合单价报价方式，报价包括但不限于全部货物采购、制作、安装、调试、使用培训、设备设施、相关附件、辅材、人工、配件、装卸、货物运输、搬运（含二次搬运）、登高、仓储、材料费、工具、劳务费、检测、质保、售后服务、验收、保险、税金、规费、样品、招标代理费等所有与本项目相关的费用，以及根据国家、省、市、项目所在地政府及相关部门的规定缴纳有关费用。</w:t>
      </w:r>
    </w:p>
    <w:p w14:paraId="665F7F7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bCs/>
          <w:color w:val="auto"/>
          <w:sz w:val="24"/>
          <w:szCs w:val="24"/>
          <w:lang w:val="en-US" w:eastAsia="zh-CN"/>
        </w:rPr>
      </w:pPr>
      <w:r>
        <w:rPr>
          <w:rFonts w:hint="eastAsia" w:ascii="宋体" w:hAnsi="宋体"/>
          <w:bCs/>
          <w:color w:val="auto"/>
          <w:sz w:val="24"/>
          <w:szCs w:val="24"/>
          <w:lang w:val="en-US" w:eastAsia="zh-CN"/>
        </w:rPr>
        <w:t>5.采购资金的支付时间、条件：</w:t>
      </w:r>
    </w:p>
    <w:p w14:paraId="0F2E814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bCs/>
          <w:color w:val="auto"/>
          <w:sz w:val="24"/>
          <w:szCs w:val="24"/>
          <w:lang w:val="en-US" w:eastAsia="zh-CN"/>
        </w:rPr>
      </w:pPr>
      <w:r>
        <w:rPr>
          <w:rFonts w:hint="eastAsia" w:ascii="宋体" w:hAnsi="宋体"/>
          <w:bCs/>
          <w:color w:val="auto"/>
          <w:sz w:val="24"/>
          <w:szCs w:val="24"/>
          <w:lang w:val="en-US" w:eastAsia="zh-CN"/>
        </w:rPr>
        <w:t>成交供应商供货、安装、调试完毕并经验收合格后，付至合同价的70%，验收合格满一年后付至项目审定价的90%，验收合格二年后付至项目审定价的97%，余款于验收合格满三年后且经采购人确认无质量问题后一次性付清。</w:t>
      </w:r>
    </w:p>
    <w:p w14:paraId="01E03E9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bCs/>
          <w:color w:val="auto"/>
          <w:sz w:val="24"/>
          <w:szCs w:val="24"/>
        </w:rPr>
      </w:pPr>
      <w:r>
        <w:rPr>
          <w:rFonts w:hint="eastAsia" w:ascii="宋体" w:hAnsi="宋体"/>
          <w:bCs/>
          <w:color w:val="auto"/>
          <w:sz w:val="24"/>
          <w:szCs w:val="24"/>
          <w:lang w:val="en-US" w:eastAsia="zh-CN"/>
        </w:rPr>
        <w:t>6.其他：（1）请报价单位认真核算、如实报价，如发现虚假报价的，该单位今后将被列入采购单位黑名单；（2）本次报价仅作为市场调研用，因此价格仅供参考；（3）本次调研询价不接收质疑函，只接收对本项目的建议。</w:t>
      </w:r>
      <w:r>
        <w:rPr>
          <w:rFonts w:hint="eastAsia" w:ascii="宋体" w:hAnsi="宋体"/>
          <w:bCs/>
          <w:color w:val="auto"/>
          <w:sz w:val="24"/>
          <w:szCs w:val="24"/>
        </w:rPr>
        <w:t>（4）本次询价活动最终解释权为</w:t>
      </w:r>
      <w:r>
        <w:rPr>
          <w:rFonts w:hint="eastAsia" w:ascii="宋体" w:hAnsi="宋体"/>
          <w:bCs/>
          <w:color w:val="auto"/>
          <w:sz w:val="24"/>
          <w:szCs w:val="24"/>
          <w:lang w:val="en-US" w:eastAsia="zh-CN"/>
        </w:rPr>
        <w:t>采购人</w:t>
      </w:r>
      <w:r>
        <w:rPr>
          <w:rFonts w:hint="eastAsia" w:ascii="宋体" w:hAnsi="宋体"/>
          <w:bCs/>
          <w:color w:val="auto"/>
          <w:sz w:val="24"/>
          <w:szCs w:val="24"/>
        </w:rPr>
        <w:t>所有。</w:t>
      </w:r>
    </w:p>
    <w:p w14:paraId="45A400DF">
      <w:pPr>
        <w:jc w:val="center"/>
        <w:rPr>
          <w:rFonts w:hint="eastAsia" w:ascii="宋体" w:hAnsi="宋体" w:eastAsia="宋体"/>
          <w:b/>
          <w:bCs/>
          <w:color w:val="auto"/>
          <w:sz w:val="28"/>
          <w:szCs w:val="28"/>
          <w:lang w:val="en-US" w:eastAsia="zh-CN"/>
        </w:rPr>
      </w:pPr>
    </w:p>
    <w:p w14:paraId="222D9527">
      <w:pPr>
        <w:spacing w:line="440" w:lineRule="exact"/>
        <w:ind w:firstLine="4080" w:firstLineChars="1700"/>
        <w:jc w:val="left"/>
        <w:rPr>
          <w:rFonts w:hint="default" w:ascii="宋体" w:hAnsi="宋体" w:cs="黑体"/>
          <w:color w:val="auto"/>
          <w:sz w:val="24"/>
          <w:szCs w:val="24"/>
          <w:lang w:val="en-US" w:eastAsia="zh-CN"/>
        </w:rPr>
      </w:pPr>
      <w:r>
        <w:rPr>
          <w:rFonts w:hint="eastAsia" w:ascii="宋体" w:hAnsi="宋体" w:cs="黑体"/>
          <w:color w:val="auto"/>
          <w:sz w:val="24"/>
          <w:szCs w:val="24"/>
          <w:lang w:val="en-US" w:eastAsia="zh-CN"/>
        </w:rPr>
        <w:t>启东市合作镇曹家镇村股份经济合作社</w:t>
      </w:r>
    </w:p>
    <w:p w14:paraId="1F5F6710">
      <w:pPr>
        <w:spacing w:line="440" w:lineRule="exact"/>
        <w:ind w:firstLine="480" w:firstLineChars="200"/>
        <w:jc w:val="left"/>
        <w:rPr>
          <w:rFonts w:hint="eastAsia" w:ascii="宋体" w:hAnsi="宋体" w:cs="黑体"/>
          <w:color w:val="auto"/>
          <w:sz w:val="24"/>
          <w:szCs w:val="24"/>
          <w:lang w:val="en-US" w:eastAsia="zh-CN"/>
        </w:rPr>
      </w:pPr>
      <w:r>
        <w:rPr>
          <w:rFonts w:hint="eastAsia" w:ascii="宋体" w:hAnsi="宋体" w:cs="黑体"/>
          <w:color w:val="auto"/>
          <w:sz w:val="24"/>
          <w:szCs w:val="24"/>
          <w:lang w:val="en-US" w:eastAsia="zh-CN"/>
        </w:rPr>
        <w:t xml:space="preserve">                                                </w:t>
      </w:r>
      <w:r>
        <w:rPr>
          <w:rFonts w:hint="eastAsia" w:ascii="宋体" w:hAnsi="宋体" w:cs="黑体"/>
          <w:color w:val="auto"/>
          <w:sz w:val="24"/>
          <w:szCs w:val="24"/>
        </w:rPr>
        <w:t>202</w:t>
      </w:r>
      <w:r>
        <w:rPr>
          <w:rFonts w:hint="eastAsia" w:ascii="宋体" w:hAnsi="宋体" w:cs="黑体"/>
          <w:color w:val="auto"/>
          <w:sz w:val="24"/>
          <w:szCs w:val="24"/>
          <w:lang w:val="en-US" w:eastAsia="zh-CN"/>
        </w:rPr>
        <w:t>5</w:t>
      </w:r>
      <w:r>
        <w:rPr>
          <w:rFonts w:hint="eastAsia" w:ascii="宋体" w:hAnsi="宋体" w:cs="黑体"/>
          <w:color w:val="auto"/>
          <w:sz w:val="24"/>
          <w:szCs w:val="24"/>
        </w:rPr>
        <w:t>年</w:t>
      </w:r>
      <w:r>
        <w:rPr>
          <w:rFonts w:hint="eastAsia" w:ascii="宋体" w:hAnsi="宋体" w:cs="黑体"/>
          <w:color w:val="auto"/>
          <w:sz w:val="24"/>
          <w:szCs w:val="24"/>
          <w:lang w:val="en-US" w:eastAsia="zh-CN"/>
        </w:rPr>
        <w:t>6</w:t>
      </w:r>
      <w:r>
        <w:rPr>
          <w:rFonts w:hint="eastAsia" w:ascii="宋体" w:hAnsi="宋体" w:cs="黑体"/>
          <w:color w:val="auto"/>
          <w:sz w:val="24"/>
          <w:szCs w:val="24"/>
        </w:rPr>
        <w:t>月</w:t>
      </w:r>
      <w:r>
        <w:rPr>
          <w:rFonts w:hint="eastAsia" w:ascii="宋体" w:hAnsi="宋体" w:cs="黑体"/>
          <w:color w:val="auto"/>
          <w:sz w:val="24"/>
          <w:szCs w:val="24"/>
          <w:lang w:val="en-US" w:eastAsia="zh-CN"/>
        </w:rPr>
        <w:t>12</w:t>
      </w:r>
      <w:bookmarkStart w:id="0" w:name="_GoBack"/>
      <w:bookmarkEnd w:id="0"/>
      <w:r>
        <w:rPr>
          <w:rFonts w:hint="eastAsia" w:ascii="宋体" w:hAnsi="宋体" w:cs="黑体"/>
          <w:color w:val="auto"/>
          <w:sz w:val="24"/>
          <w:szCs w:val="24"/>
        </w:rPr>
        <w:t>日</w:t>
      </w:r>
    </w:p>
    <w:p w14:paraId="7372A6B4">
      <w:pPr>
        <w:jc w:val="center"/>
        <w:rPr>
          <w:rFonts w:hint="eastAsia" w:ascii="宋体" w:hAnsi="宋体" w:eastAsia="宋体"/>
          <w:b/>
          <w:bCs/>
          <w:color w:val="auto"/>
          <w:sz w:val="28"/>
          <w:szCs w:val="28"/>
          <w:lang w:val="en-US" w:eastAsia="zh-CN"/>
        </w:rPr>
      </w:pPr>
      <w:r>
        <w:rPr>
          <w:rFonts w:hint="eastAsia" w:ascii="宋体" w:hAnsi="宋体" w:eastAsia="宋体"/>
          <w:b/>
          <w:bCs/>
          <w:color w:val="auto"/>
          <w:sz w:val="28"/>
          <w:szCs w:val="28"/>
          <w:lang w:val="en-US" w:eastAsia="zh-CN"/>
        </w:rPr>
        <w:t>启东市合作镇曹家镇村太阳能路灯采购项目</w:t>
      </w:r>
    </w:p>
    <w:p w14:paraId="41815DC7">
      <w:pPr>
        <w:jc w:val="center"/>
        <w:rPr>
          <w:rFonts w:hint="eastAsia" w:ascii="宋体" w:hAnsi="宋体" w:eastAsia="宋体"/>
          <w:b/>
          <w:bCs/>
          <w:color w:val="auto"/>
          <w:sz w:val="28"/>
          <w:szCs w:val="28"/>
        </w:rPr>
      </w:pPr>
      <w:r>
        <w:rPr>
          <w:rFonts w:hint="eastAsia" w:ascii="宋体" w:hAnsi="宋体" w:eastAsia="宋体"/>
          <w:b/>
          <w:bCs/>
          <w:color w:val="auto"/>
          <w:sz w:val="28"/>
          <w:szCs w:val="28"/>
          <w:lang w:val="en-US" w:eastAsia="zh-CN"/>
        </w:rPr>
        <w:t>市场询价报价单</w:t>
      </w:r>
    </w:p>
    <w:tbl>
      <w:tblPr>
        <w:tblStyle w:val="9"/>
        <w:tblW w:w="11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159"/>
        <w:gridCol w:w="4064"/>
        <w:gridCol w:w="831"/>
        <w:gridCol w:w="776"/>
        <w:gridCol w:w="884"/>
        <w:gridCol w:w="906"/>
        <w:gridCol w:w="862"/>
        <w:gridCol w:w="909"/>
      </w:tblGrid>
      <w:tr w14:paraId="3ED67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blHeader/>
          <w:jc w:val="center"/>
        </w:trPr>
        <w:tc>
          <w:tcPr>
            <w:tcW w:w="641" w:type="dxa"/>
            <w:vAlign w:val="center"/>
          </w:tcPr>
          <w:p w14:paraId="0B620789">
            <w:pPr>
              <w:jc w:val="center"/>
              <w:rPr>
                <w:rFonts w:hint="eastAsia" w:ascii="宋体" w:hAnsi="宋体" w:eastAsia="宋体"/>
                <w:b/>
                <w:bCs/>
                <w:color w:val="auto"/>
                <w:sz w:val="21"/>
                <w:szCs w:val="21"/>
                <w:vertAlign w:val="baseline"/>
              </w:rPr>
            </w:pPr>
            <w:r>
              <w:rPr>
                <w:rFonts w:hint="eastAsia" w:ascii="宋体" w:hAnsi="宋体" w:eastAsia="宋体"/>
                <w:b/>
                <w:bCs/>
                <w:color w:val="auto"/>
                <w:sz w:val="21"/>
                <w:szCs w:val="21"/>
                <w:vertAlign w:val="baseline"/>
              </w:rPr>
              <w:t>序号</w:t>
            </w:r>
          </w:p>
        </w:tc>
        <w:tc>
          <w:tcPr>
            <w:tcW w:w="1159" w:type="dxa"/>
            <w:vAlign w:val="center"/>
          </w:tcPr>
          <w:p w14:paraId="7AA5DD85">
            <w:pPr>
              <w:jc w:val="center"/>
              <w:rPr>
                <w:rFonts w:hint="eastAsia" w:ascii="宋体" w:hAnsi="宋体" w:eastAsia="宋体"/>
                <w:b/>
                <w:bCs/>
                <w:color w:val="auto"/>
                <w:sz w:val="21"/>
                <w:szCs w:val="21"/>
                <w:vertAlign w:val="baseline"/>
                <w:lang w:val="en-US" w:eastAsia="zh-CN"/>
              </w:rPr>
            </w:pPr>
            <w:r>
              <w:rPr>
                <w:rFonts w:hint="eastAsia" w:ascii="宋体" w:hAnsi="宋体" w:eastAsia="宋体"/>
                <w:b/>
                <w:bCs/>
                <w:color w:val="auto"/>
                <w:sz w:val="21"/>
                <w:szCs w:val="21"/>
                <w:vertAlign w:val="baseline"/>
                <w:lang w:val="en-US" w:eastAsia="zh-CN"/>
              </w:rPr>
              <w:t>货物名称</w:t>
            </w:r>
          </w:p>
        </w:tc>
        <w:tc>
          <w:tcPr>
            <w:tcW w:w="4064" w:type="dxa"/>
            <w:vAlign w:val="center"/>
          </w:tcPr>
          <w:p w14:paraId="741A986A">
            <w:pPr>
              <w:jc w:val="center"/>
              <w:rPr>
                <w:rFonts w:hint="eastAsia" w:ascii="宋体" w:hAnsi="宋体" w:eastAsia="宋体"/>
                <w:b/>
                <w:bCs/>
                <w:color w:val="auto"/>
                <w:sz w:val="21"/>
                <w:szCs w:val="21"/>
                <w:vertAlign w:val="baseline"/>
              </w:rPr>
            </w:pPr>
            <w:r>
              <w:rPr>
                <w:rFonts w:hint="eastAsia" w:ascii="宋体" w:hAnsi="宋体" w:eastAsia="宋体"/>
                <w:b/>
                <w:bCs/>
                <w:color w:val="auto"/>
                <w:sz w:val="21"/>
                <w:szCs w:val="21"/>
                <w:vertAlign w:val="baseline"/>
                <w:lang w:val="en-US" w:eastAsia="zh-CN"/>
              </w:rPr>
              <w:t>技术</w:t>
            </w:r>
            <w:r>
              <w:rPr>
                <w:rFonts w:hint="eastAsia" w:ascii="宋体" w:hAnsi="宋体" w:eastAsia="宋体"/>
                <w:b/>
                <w:bCs/>
                <w:color w:val="auto"/>
                <w:sz w:val="21"/>
                <w:szCs w:val="21"/>
                <w:vertAlign w:val="baseline"/>
              </w:rPr>
              <w:t>参数</w:t>
            </w:r>
          </w:p>
        </w:tc>
        <w:tc>
          <w:tcPr>
            <w:tcW w:w="831" w:type="dxa"/>
            <w:vAlign w:val="center"/>
          </w:tcPr>
          <w:p w14:paraId="5DB74BF4">
            <w:pPr>
              <w:jc w:val="center"/>
              <w:rPr>
                <w:rFonts w:hint="eastAsia" w:ascii="宋体" w:hAnsi="宋体" w:eastAsia="宋体"/>
                <w:b/>
                <w:bCs/>
                <w:color w:val="auto"/>
                <w:sz w:val="21"/>
                <w:szCs w:val="21"/>
                <w:vertAlign w:val="baseline"/>
              </w:rPr>
            </w:pPr>
            <w:r>
              <w:rPr>
                <w:rFonts w:hint="eastAsia" w:ascii="宋体" w:hAnsi="宋体"/>
                <w:b/>
                <w:bCs/>
                <w:color w:val="auto"/>
                <w:sz w:val="21"/>
                <w:szCs w:val="21"/>
                <w:vertAlign w:val="baseline"/>
                <w:lang w:val="en-US" w:eastAsia="zh-CN"/>
              </w:rPr>
              <w:t>单位</w:t>
            </w:r>
          </w:p>
        </w:tc>
        <w:tc>
          <w:tcPr>
            <w:tcW w:w="776" w:type="dxa"/>
            <w:vAlign w:val="center"/>
          </w:tcPr>
          <w:p w14:paraId="2D83FC0F">
            <w:pPr>
              <w:jc w:val="center"/>
              <w:rPr>
                <w:rFonts w:hint="default" w:ascii="宋体" w:hAnsi="宋体" w:eastAsia="宋体"/>
                <w:b/>
                <w:bCs/>
                <w:color w:val="auto"/>
                <w:sz w:val="21"/>
                <w:szCs w:val="21"/>
                <w:vertAlign w:val="baseline"/>
                <w:lang w:val="en-US" w:eastAsia="zh-CN"/>
              </w:rPr>
            </w:pPr>
            <w:r>
              <w:rPr>
                <w:rFonts w:hint="eastAsia" w:ascii="宋体" w:hAnsi="宋体"/>
                <w:b/>
                <w:bCs/>
                <w:color w:val="auto"/>
                <w:sz w:val="21"/>
                <w:szCs w:val="21"/>
                <w:vertAlign w:val="baseline"/>
                <w:lang w:val="en-US" w:eastAsia="zh-CN"/>
              </w:rPr>
              <w:t>数量</w:t>
            </w:r>
          </w:p>
        </w:tc>
        <w:tc>
          <w:tcPr>
            <w:tcW w:w="884" w:type="dxa"/>
            <w:vAlign w:val="center"/>
          </w:tcPr>
          <w:p w14:paraId="52DE0834">
            <w:pPr>
              <w:jc w:val="center"/>
              <w:rPr>
                <w:rFonts w:hint="default" w:ascii="宋体" w:hAnsi="宋体"/>
                <w:b/>
                <w:bCs/>
                <w:color w:val="auto"/>
                <w:sz w:val="21"/>
                <w:szCs w:val="21"/>
                <w:vertAlign w:val="baseline"/>
                <w:lang w:val="en-US" w:eastAsia="zh-CN"/>
              </w:rPr>
            </w:pPr>
            <w:r>
              <w:rPr>
                <w:rFonts w:hint="eastAsia" w:ascii="宋体" w:hAnsi="宋体"/>
                <w:b/>
                <w:bCs/>
                <w:color w:val="auto"/>
                <w:sz w:val="21"/>
                <w:szCs w:val="21"/>
                <w:vertAlign w:val="baseline"/>
                <w:lang w:val="en-US" w:eastAsia="zh-CN"/>
              </w:rPr>
              <w:t>品牌及型号</w:t>
            </w:r>
          </w:p>
        </w:tc>
        <w:tc>
          <w:tcPr>
            <w:tcW w:w="906" w:type="dxa"/>
            <w:vAlign w:val="center"/>
          </w:tcPr>
          <w:p w14:paraId="51C64CFC">
            <w:pPr>
              <w:jc w:val="center"/>
              <w:rPr>
                <w:rFonts w:hint="eastAsia" w:ascii="宋体" w:hAnsi="宋体"/>
                <w:b/>
                <w:bCs/>
                <w:color w:val="auto"/>
                <w:sz w:val="21"/>
                <w:szCs w:val="21"/>
                <w:vertAlign w:val="baseline"/>
                <w:lang w:val="en-US" w:eastAsia="zh-CN"/>
              </w:rPr>
            </w:pPr>
            <w:r>
              <w:rPr>
                <w:rFonts w:hint="eastAsia" w:ascii="宋体" w:hAnsi="宋体"/>
                <w:b/>
                <w:bCs/>
                <w:color w:val="auto"/>
                <w:sz w:val="21"/>
                <w:szCs w:val="21"/>
                <w:vertAlign w:val="baseline"/>
                <w:lang w:val="en-US" w:eastAsia="zh-CN"/>
              </w:rPr>
              <w:t>综合</w:t>
            </w:r>
          </w:p>
          <w:p w14:paraId="27235FAD">
            <w:pPr>
              <w:jc w:val="center"/>
              <w:rPr>
                <w:rFonts w:hint="default" w:ascii="宋体" w:hAnsi="宋体" w:eastAsia="宋体"/>
                <w:b/>
                <w:bCs/>
                <w:color w:val="auto"/>
                <w:sz w:val="21"/>
                <w:szCs w:val="21"/>
                <w:vertAlign w:val="baseline"/>
                <w:lang w:val="en-US" w:eastAsia="zh-CN"/>
              </w:rPr>
            </w:pPr>
            <w:r>
              <w:rPr>
                <w:rFonts w:hint="eastAsia" w:ascii="宋体" w:hAnsi="宋体"/>
                <w:b/>
                <w:bCs/>
                <w:color w:val="auto"/>
                <w:sz w:val="21"/>
                <w:szCs w:val="21"/>
                <w:vertAlign w:val="baseline"/>
                <w:lang w:val="en-US" w:eastAsia="zh-CN"/>
              </w:rPr>
              <w:t>单价</w:t>
            </w:r>
            <w:r>
              <w:rPr>
                <w:rFonts w:hint="eastAsia" w:ascii="宋体" w:hAnsi="宋体" w:cs="宋体"/>
                <w:b/>
                <w:color w:val="auto"/>
                <w:kern w:val="0"/>
                <w:sz w:val="21"/>
                <w:szCs w:val="21"/>
              </w:rPr>
              <w:t>（元）</w:t>
            </w:r>
          </w:p>
        </w:tc>
        <w:tc>
          <w:tcPr>
            <w:tcW w:w="862" w:type="dxa"/>
            <w:vAlign w:val="center"/>
          </w:tcPr>
          <w:p w14:paraId="532735C8">
            <w:pPr>
              <w:jc w:val="center"/>
              <w:rPr>
                <w:rFonts w:hint="eastAsia" w:ascii="宋体" w:hAnsi="宋体"/>
                <w:b/>
                <w:bCs/>
                <w:color w:val="auto"/>
                <w:sz w:val="21"/>
                <w:szCs w:val="21"/>
                <w:vertAlign w:val="baseline"/>
                <w:lang w:val="en-US" w:eastAsia="zh-CN"/>
              </w:rPr>
            </w:pPr>
            <w:r>
              <w:rPr>
                <w:rFonts w:hint="eastAsia" w:ascii="宋体" w:hAnsi="宋体"/>
                <w:b/>
                <w:bCs/>
                <w:color w:val="auto"/>
                <w:sz w:val="21"/>
                <w:szCs w:val="21"/>
                <w:vertAlign w:val="baseline"/>
                <w:lang w:val="en-US" w:eastAsia="zh-CN"/>
              </w:rPr>
              <w:t>总价（元）</w:t>
            </w:r>
          </w:p>
        </w:tc>
        <w:tc>
          <w:tcPr>
            <w:tcW w:w="909" w:type="dxa"/>
            <w:vAlign w:val="center"/>
          </w:tcPr>
          <w:p w14:paraId="38040EC7">
            <w:pPr>
              <w:jc w:val="center"/>
              <w:rPr>
                <w:rFonts w:hint="default" w:ascii="宋体" w:hAnsi="宋体"/>
                <w:b/>
                <w:bCs/>
                <w:color w:val="auto"/>
                <w:sz w:val="21"/>
                <w:szCs w:val="21"/>
                <w:vertAlign w:val="baseline"/>
                <w:lang w:val="en-US" w:eastAsia="zh-CN"/>
              </w:rPr>
            </w:pPr>
            <w:r>
              <w:rPr>
                <w:rFonts w:hint="eastAsia" w:ascii="宋体" w:hAnsi="宋体"/>
                <w:b/>
                <w:bCs/>
                <w:color w:val="auto"/>
                <w:sz w:val="21"/>
                <w:szCs w:val="21"/>
                <w:vertAlign w:val="baseline"/>
                <w:lang w:val="en-US" w:eastAsia="zh-CN"/>
              </w:rPr>
              <w:t>质保期（年）</w:t>
            </w:r>
          </w:p>
        </w:tc>
      </w:tr>
      <w:tr w14:paraId="17B1E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641" w:type="dxa"/>
            <w:vAlign w:val="center"/>
          </w:tcPr>
          <w:p w14:paraId="3979036A">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b/>
                <w:bCs/>
                <w:color w:val="auto"/>
                <w:sz w:val="21"/>
                <w:szCs w:val="21"/>
                <w:vertAlign w:val="baseline"/>
              </w:rPr>
            </w:pPr>
            <w:r>
              <w:rPr>
                <w:rFonts w:hint="eastAsia" w:ascii="宋体" w:hAnsi="宋体"/>
                <w:b w:val="0"/>
                <w:bCs w:val="0"/>
                <w:color w:val="000000"/>
                <w:sz w:val="18"/>
                <w:szCs w:val="18"/>
                <w:vertAlign w:val="baseline"/>
                <w:lang w:val="en-US" w:eastAsia="zh-CN"/>
              </w:rPr>
              <w:t>1</w:t>
            </w:r>
          </w:p>
        </w:tc>
        <w:tc>
          <w:tcPr>
            <w:tcW w:w="1159" w:type="dxa"/>
            <w:vAlign w:val="center"/>
          </w:tcPr>
          <w:p w14:paraId="4DC8796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b/>
                <w:bCs/>
                <w:color w:val="auto"/>
                <w:sz w:val="21"/>
                <w:szCs w:val="21"/>
                <w:vertAlign w:val="baseline"/>
                <w:lang w:val="en-US" w:eastAsia="zh-CN"/>
              </w:rPr>
            </w:pPr>
            <w:r>
              <w:rPr>
                <w:rFonts w:hint="eastAsia" w:ascii="宋体" w:hAnsi="宋体" w:eastAsia="宋体" w:cs="宋体"/>
                <w:color w:val="000000"/>
                <w:kern w:val="0"/>
                <w:sz w:val="18"/>
                <w:szCs w:val="18"/>
                <w:highlight w:val="none"/>
                <w:lang w:bidi="ar"/>
              </w:rPr>
              <w:t>拆除</w:t>
            </w:r>
          </w:p>
        </w:tc>
        <w:tc>
          <w:tcPr>
            <w:tcW w:w="4064" w:type="dxa"/>
            <w:vAlign w:val="center"/>
          </w:tcPr>
          <w:p w14:paraId="62EF4AB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1、原有路灯及配线等附件全部拆除（具体以采购人要求为准）。</w:t>
            </w:r>
          </w:p>
          <w:p w14:paraId="6DB4629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2、拆除后按采购人要求在指定位置堆放整齐。</w:t>
            </w:r>
          </w:p>
          <w:p w14:paraId="6BA1A47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b/>
                <w:bCs/>
                <w:color w:val="auto"/>
                <w:sz w:val="21"/>
                <w:szCs w:val="21"/>
                <w:vertAlign w:val="baseline"/>
                <w:lang w:val="en-US" w:eastAsia="zh-CN"/>
              </w:rPr>
            </w:pPr>
            <w:r>
              <w:rPr>
                <w:rFonts w:hint="eastAsia" w:ascii="宋体" w:hAnsi="宋体" w:eastAsia="宋体" w:cs="宋体"/>
                <w:color w:val="000000"/>
                <w:kern w:val="0"/>
                <w:sz w:val="18"/>
                <w:szCs w:val="18"/>
                <w:highlight w:val="none"/>
                <w:lang w:bidi="ar"/>
              </w:rPr>
              <w:t>3、拆</w:t>
            </w:r>
            <w:r>
              <w:rPr>
                <w:rFonts w:hint="eastAsia" w:ascii="宋体" w:hAnsi="宋体" w:eastAsia="宋体" w:cs="宋体"/>
                <w:color w:val="000000"/>
                <w:kern w:val="0"/>
                <w:sz w:val="18"/>
                <w:szCs w:val="18"/>
                <w:highlight w:val="none"/>
                <w:lang w:val="en-US" w:eastAsia="zh-CN" w:bidi="ar"/>
              </w:rPr>
              <w:t>除</w:t>
            </w:r>
            <w:r>
              <w:rPr>
                <w:rFonts w:hint="eastAsia" w:ascii="宋体" w:hAnsi="宋体" w:eastAsia="宋体" w:cs="宋体"/>
                <w:color w:val="000000"/>
                <w:kern w:val="0"/>
                <w:sz w:val="18"/>
                <w:szCs w:val="18"/>
                <w:highlight w:val="none"/>
                <w:lang w:bidi="ar"/>
              </w:rPr>
              <w:t>的灯及配线等附件全部归采购人所有。</w:t>
            </w:r>
          </w:p>
        </w:tc>
        <w:tc>
          <w:tcPr>
            <w:tcW w:w="831" w:type="dxa"/>
            <w:vAlign w:val="center"/>
          </w:tcPr>
          <w:p w14:paraId="29F6219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b/>
                <w:bCs/>
                <w:color w:val="auto"/>
                <w:sz w:val="21"/>
                <w:szCs w:val="21"/>
                <w:vertAlign w:val="baseline"/>
                <w:lang w:val="en-US" w:eastAsia="zh-CN"/>
              </w:rPr>
            </w:pPr>
            <w:r>
              <w:rPr>
                <w:rFonts w:hint="eastAsia" w:ascii="宋体" w:hAnsi="宋体" w:cs="Times New Roman"/>
                <w:color w:val="000000"/>
                <w:sz w:val="18"/>
                <w:szCs w:val="18"/>
                <w:lang w:val="en-US" w:eastAsia="zh-CN"/>
              </w:rPr>
              <w:t>项</w:t>
            </w:r>
          </w:p>
        </w:tc>
        <w:tc>
          <w:tcPr>
            <w:tcW w:w="776" w:type="dxa"/>
            <w:vAlign w:val="center"/>
          </w:tcPr>
          <w:p w14:paraId="0045570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b/>
                <w:bCs/>
                <w:color w:val="auto"/>
                <w:sz w:val="21"/>
                <w:szCs w:val="21"/>
                <w:vertAlign w:val="baseline"/>
                <w:lang w:val="en-US" w:eastAsia="zh-CN"/>
              </w:rPr>
            </w:pPr>
            <w:r>
              <w:rPr>
                <w:rFonts w:hint="eastAsia" w:ascii="宋体" w:hAnsi="宋体" w:cs="Times New Roman"/>
                <w:color w:val="000000"/>
                <w:sz w:val="18"/>
                <w:szCs w:val="18"/>
                <w:lang w:val="en-US" w:eastAsia="zh-CN"/>
              </w:rPr>
              <w:t>1</w:t>
            </w:r>
          </w:p>
        </w:tc>
        <w:tc>
          <w:tcPr>
            <w:tcW w:w="884" w:type="dxa"/>
            <w:vAlign w:val="center"/>
          </w:tcPr>
          <w:p w14:paraId="2486FCD1">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宋体" w:hAnsi="宋体"/>
                <w:b/>
                <w:bCs/>
                <w:color w:val="auto"/>
                <w:sz w:val="21"/>
                <w:szCs w:val="21"/>
                <w:vertAlign w:val="baseline"/>
                <w:lang w:val="en-US" w:eastAsia="zh-CN"/>
              </w:rPr>
            </w:pPr>
            <w:r>
              <w:rPr>
                <w:rFonts w:hint="eastAsia" w:ascii="宋体" w:hAnsi="宋体" w:cs="Times New Roman"/>
                <w:color w:val="000000"/>
                <w:sz w:val="18"/>
                <w:szCs w:val="18"/>
                <w:lang w:val="en-US" w:eastAsia="zh-CN"/>
              </w:rPr>
              <w:t>/</w:t>
            </w:r>
          </w:p>
        </w:tc>
        <w:tc>
          <w:tcPr>
            <w:tcW w:w="906" w:type="dxa"/>
            <w:vAlign w:val="center"/>
          </w:tcPr>
          <w:p w14:paraId="44F5259C">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宋体" w:hAnsi="宋体"/>
                <w:b/>
                <w:bCs/>
                <w:color w:val="auto"/>
                <w:sz w:val="21"/>
                <w:szCs w:val="21"/>
                <w:vertAlign w:val="baseline"/>
                <w:lang w:val="en-US" w:eastAsia="zh-CN"/>
              </w:rPr>
            </w:pPr>
          </w:p>
        </w:tc>
        <w:tc>
          <w:tcPr>
            <w:tcW w:w="862" w:type="dxa"/>
            <w:vAlign w:val="center"/>
          </w:tcPr>
          <w:p w14:paraId="4E137ED8">
            <w:pPr>
              <w:jc w:val="center"/>
              <w:rPr>
                <w:rFonts w:hint="eastAsia" w:ascii="宋体" w:hAnsi="宋体"/>
                <w:b/>
                <w:bCs/>
                <w:color w:val="auto"/>
                <w:sz w:val="21"/>
                <w:szCs w:val="21"/>
                <w:vertAlign w:val="baseline"/>
                <w:lang w:val="en-US" w:eastAsia="zh-CN"/>
              </w:rPr>
            </w:pPr>
          </w:p>
        </w:tc>
        <w:tc>
          <w:tcPr>
            <w:tcW w:w="909" w:type="dxa"/>
            <w:vAlign w:val="center"/>
          </w:tcPr>
          <w:p w14:paraId="3013E0C8">
            <w:pPr>
              <w:jc w:val="center"/>
              <w:rPr>
                <w:rFonts w:hint="eastAsia" w:ascii="宋体" w:hAnsi="宋体"/>
                <w:b/>
                <w:bCs/>
                <w:color w:val="auto"/>
                <w:sz w:val="21"/>
                <w:szCs w:val="21"/>
                <w:vertAlign w:val="baseline"/>
                <w:lang w:val="en-US" w:eastAsia="zh-CN"/>
              </w:rPr>
            </w:pPr>
            <w:r>
              <w:rPr>
                <w:rFonts w:hint="eastAsia" w:ascii="宋体" w:hAnsi="宋体" w:cs="Times New Roman"/>
                <w:color w:val="000000"/>
                <w:sz w:val="18"/>
                <w:szCs w:val="18"/>
                <w:lang w:val="en-US" w:eastAsia="zh-CN"/>
              </w:rPr>
              <w:t>/</w:t>
            </w:r>
          </w:p>
        </w:tc>
      </w:tr>
      <w:tr w14:paraId="172B7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0" w:hRule="atLeast"/>
          <w:jc w:val="center"/>
        </w:trPr>
        <w:tc>
          <w:tcPr>
            <w:tcW w:w="641" w:type="dxa"/>
            <w:vAlign w:val="center"/>
          </w:tcPr>
          <w:p w14:paraId="66ED3E6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b w:val="0"/>
                <w:bCs w:val="0"/>
                <w:color w:val="auto"/>
                <w:sz w:val="21"/>
                <w:szCs w:val="21"/>
                <w:vertAlign w:val="baseline"/>
                <w:lang w:val="en-US" w:eastAsia="zh-CN"/>
              </w:rPr>
            </w:pPr>
            <w:r>
              <w:rPr>
                <w:rFonts w:hint="eastAsia" w:ascii="宋体" w:hAnsi="宋体"/>
                <w:b w:val="0"/>
                <w:bCs w:val="0"/>
                <w:color w:val="auto"/>
                <w:sz w:val="21"/>
                <w:szCs w:val="21"/>
                <w:vertAlign w:val="baseline"/>
                <w:lang w:val="en-US" w:eastAsia="zh-CN"/>
              </w:rPr>
              <w:t>2</w:t>
            </w:r>
          </w:p>
        </w:tc>
        <w:tc>
          <w:tcPr>
            <w:tcW w:w="1159" w:type="dxa"/>
            <w:vAlign w:val="center"/>
          </w:tcPr>
          <w:p w14:paraId="3307B76E">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eastAsia="宋体"/>
                <w:b w:val="0"/>
                <w:bCs w:val="0"/>
                <w:color w:val="auto"/>
                <w:sz w:val="21"/>
                <w:szCs w:val="21"/>
                <w:vertAlign w:val="baseline"/>
                <w:lang w:val="en-US" w:eastAsia="zh-CN"/>
              </w:rPr>
            </w:pPr>
            <w:r>
              <w:rPr>
                <w:rFonts w:hint="eastAsia" w:ascii="宋体" w:hAnsi="宋体" w:eastAsia="宋体" w:cs="宋体"/>
                <w:i w:val="0"/>
                <w:iCs w:val="0"/>
                <w:color w:val="auto"/>
                <w:sz w:val="18"/>
                <w:szCs w:val="18"/>
                <w:highlight w:val="none"/>
                <w:u w:val="none"/>
                <w:lang w:val="en-US" w:eastAsia="zh-CN"/>
              </w:rPr>
              <w:t>太阳能路灯（新立杆）</w:t>
            </w:r>
          </w:p>
        </w:tc>
        <w:tc>
          <w:tcPr>
            <w:tcW w:w="4064" w:type="dxa"/>
            <w:vAlign w:val="center"/>
          </w:tcPr>
          <w:p w14:paraId="34C1FFBF">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宋体" w:hAnsi="宋体" w:eastAsia="宋体" w:cs="Times New Roman"/>
                <w:color w:val="auto"/>
                <w:sz w:val="18"/>
                <w:szCs w:val="18"/>
                <w:lang w:val="en-US" w:eastAsia="zh-CN"/>
              </w:rPr>
            </w:pPr>
            <w:r>
              <w:rPr>
                <w:rFonts w:hint="default" w:ascii="宋体" w:hAnsi="宋体" w:eastAsia="宋体" w:cs="Times New Roman"/>
                <w:color w:val="auto"/>
                <w:sz w:val="18"/>
                <w:szCs w:val="18"/>
                <w:lang w:val="en-US" w:eastAsia="zh-CN"/>
              </w:rPr>
              <w:t xml:space="preserve">1、灯杆： </w:t>
            </w:r>
          </w:p>
          <w:p w14:paraId="5E466C23">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宋体" w:hAnsi="宋体" w:eastAsia="宋体" w:cs="Times New Roman"/>
                <w:color w:val="auto"/>
                <w:sz w:val="18"/>
                <w:szCs w:val="18"/>
                <w:lang w:val="en-US" w:eastAsia="zh-CN"/>
              </w:rPr>
            </w:pPr>
            <w:r>
              <w:rPr>
                <w:rFonts w:hint="default" w:ascii="宋体" w:hAnsi="宋体" w:eastAsia="宋体" w:cs="Times New Roman"/>
                <w:color w:val="auto"/>
                <w:sz w:val="18"/>
                <w:szCs w:val="18"/>
                <w:lang w:val="en-US" w:eastAsia="zh-CN"/>
              </w:rPr>
              <w:t xml:space="preserve">灯杆高5米，材质为Q235,主杆上口径60mm，下口径140mm，壁厚2.5mm。出臂1米。 </w:t>
            </w:r>
          </w:p>
          <w:p w14:paraId="4BEE41F9">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宋体" w:hAnsi="宋体" w:eastAsia="宋体" w:cs="Times New Roman"/>
                <w:color w:val="auto"/>
                <w:sz w:val="18"/>
                <w:szCs w:val="18"/>
                <w:lang w:val="en-US" w:eastAsia="zh-CN"/>
              </w:rPr>
            </w:pPr>
            <w:r>
              <w:rPr>
                <w:rFonts w:hint="default" w:ascii="宋体" w:hAnsi="宋体" w:eastAsia="宋体" w:cs="Times New Roman"/>
                <w:color w:val="auto"/>
                <w:sz w:val="18"/>
                <w:szCs w:val="18"/>
                <w:lang w:val="en-US" w:eastAsia="zh-CN"/>
              </w:rPr>
              <w:t xml:space="preserve">2、灯具： </w:t>
            </w:r>
          </w:p>
          <w:p w14:paraId="780A4AF6">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宋体" w:hAnsi="宋体" w:eastAsia="宋体" w:cs="Times New Roman"/>
                <w:color w:val="auto"/>
                <w:sz w:val="18"/>
                <w:szCs w:val="18"/>
                <w:lang w:val="en-US" w:eastAsia="zh-CN"/>
              </w:rPr>
            </w:pPr>
            <w:r>
              <w:rPr>
                <w:rFonts w:hint="default" w:ascii="宋体" w:hAnsi="宋体" w:eastAsia="宋体" w:cs="Times New Roman"/>
                <w:color w:val="auto"/>
                <w:sz w:val="18"/>
                <w:szCs w:val="18"/>
                <w:lang w:val="en-US" w:eastAsia="zh-CN"/>
              </w:rPr>
              <w:t xml:space="preserve">▲光源功率 60W(±1W)。 </w:t>
            </w:r>
          </w:p>
          <w:p w14:paraId="0B85B7F9">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宋体" w:hAnsi="宋体" w:eastAsia="宋体" w:cs="Times New Roman"/>
                <w:color w:val="auto"/>
                <w:sz w:val="18"/>
                <w:szCs w:val="18"/>
                <w:lang w:val="en-US" w:eastAsia="zh-CN"/>
              </w:rPr>
            </w:pPr>
            <w:r>
              <w:rPr>
                <w:rFonts w:hint="default" w:ascii="宋体" w:hAnsi="宋体" w:eastAsia="宋体" w:cs="Times New Roman"/>
                <w:color w:val="auto"/>
                <w:sz w:val="18"/>
                <w:szCs w:val="18"/>
                <w:lang w:val="en-US" w:eastAsia="zh-CN"/>
              </w:rPr>
              <w:t xml:space="preserve">▲显色指数＞80。 </w:t>
            </w:r>
          </w:p>
          <w:p w14:paraId="7583286F">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宋体" w:hAnsi="宋体" w:eastAsia="宋体" w:cs="Times New Roman"/>
                <w:color w:val="auto"/>
                <w:sz w:val="18"/>
                <w:szCs w:val="18"/>
                <w:lang w:val="en-US" w:eastAsia="zh-CN"/>
              </w:rPr>
            </w:pPr>
            <w:r>
              <w:rPr>
                <w:rFonts w:hint="default" w:ascii="宋体" w:hAnsi="宋体" w:eastAsia="宋体" w:cs="Times New Roman"/>
                <w:color w:val="auto"/>
                <w:sz w:val="18"/>
                <w:szCs w:val="18"/>
                <w:lang w:val="en-US" w:eastAsia="zh-CN"/>
              </w:rPr>
              <w:t xml:space="preserve">▲色温6500K(±100K)。 </w:t>
            </w:r>
          </w:p>
          <w:p w14:paraId="310CA4CF">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宋体" w:hAnsi="宋体" w:eastAsia="宋体" w:cs="Times New Roman"/>
                <w:color w:val="auto"/>
                <w:sz w:val="18"/>
                <w:szCs w:val="18"/>
                <w:lang w:val="en-US" w:eastAsia="zh-CN"/>
              </w:rPr>
            </w:pPr>
            <w:r>
              <w:rPr>
                <w:rFonts w:hint="default" w:ascii="宋体" w:hAnsi="宋体" w:eastAsia="宋体" w:cs="Times New Roman"/>
                <w:color w:val="auto"/>
                <w:sz w:val="18"/>
                <w:szCs w:val="18"/>
                <w:lang w:val="en-US" w:eastAsia="zh-CN"/>
              </w:rPr>
              <w:t xml:space="preserve">▲灯具尺寸：520*205*95mm。 </w:t>
            </w:r>
          </w:p>
          <w:p w14:paraId="104C0241">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宋体" w:hAnsi="宋体" w:eastAsia="宋体" w:cs="Times New Roman"/>
                <w:color w:val="auto"/>
                <w:sz w:val="18"/>
                <w:szCs w:val="18"/>
                <w:lang w:val="en-US" w:eastAsia="zh-CN"/>
              </w:rPr>
            </w:pPr>
            <w:r>
              <w:rPr>
                <w:rFonts w:hint="default" w:ascii="宋体" w:hAnsi="宋体" w:eastAsia="宋体" w:cs="Times New Roman"/>
                <w:color w:val="auto"/>
                <w:sz w:val="18"/>
                <w:szCs w:val="18"/>
                <w:lang w:val="en-US" w:eastAsia="zh-CN"/>
              </w:rPr>
              <w:t xml:space="preserve">▲防护等级IP65。 </w:t>
            </w:r>
          </w:p>
          <w:p w14:paraId="114546D7">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宋体" w:hAnsi="宋体" w:eastAsia="宋体" w:cs="Times New Roman"/>
                <w:color w:val="auto"/>
                <w:sz w:val="18"/>
                <w:szCs w:val="18"/>
                <w:lang w:val="en-US" w:eastAsia="zh-CN"/>
              </w:rPr>
            </w:pPr>
            <w:r>
              <w:rPr>
                <w:rFonts w:hint="default" w:ascii="宋体" w:hAnsi="宋体" w:eastAsia="宋体" w:cs="Times New Roman"/>
                <w:color w:val="auto"/>
                <w:sz w:val="18"/>
                <w:szCs w:val="18"/>
                <w:lang w:val="en-US" w:eastAsia="zh-CN"/>
              </w:rPr>
              <w:t xml:space="preserve">▲符合 GB7000.203（GB7000.1）标准耐久性和热试验。 </w:t>
            </w:r>
          </w:p>
          <w:p w14:paraId="1AE29202">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宋体" w:hAnsi="宋体" w:eastAsia="宋体" w:cs="Times New Roman"/>
                <w:color w:val="auto"/>
                <w:sz w:val="18"/>
                <w:szCs w:val="18"/>
                <w:lang w:val="en-US" w:eastAsia="zh-CN"/>
              </w:rPr>
            </w:pPr>
            <w:r>
              <w:rPr>
                <w:rFonts w:hint="default" w:ascii="宋体" w:hAnsi="宋体" w:eastAsia="宋体" w:cs="Times New Roman"/>
                <w:color w:val="auto"/>
                <w:sz w:val="18"/>
                <w:szCs w:val="18"/>
                <w:lang w:val="en-US" w:eastAsia="zh-CN"/>
              </w:rPr>
              <w:t xml:space="preserve">外壳采用全铝压铸、全密封构、外表光滑，灯具结构设计合理、强度高。平均寿命＞50000小时。光衰＜3%，性能稳定。 </w:t>
            </w:r>
          </w:p>
          <w:p w14:paraId="586D44C2">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宋体" w:hAnsi="宋体" w:eastAsia="宋体" w:cs="Times New Roman"/>
                <w:color w:val="auto"/>
                <w:sz w:val="18"/>
                <w:szCs w:val="18"/>
                <w:lang w:val="en-US" w:eastAsia="zh-CN"/>
              </w:rPr>
            </w:pPr>
            <w:r>
              <w:rPr>
                <w:rFonts w:hint="default" w:ascii="宋体" w:hAnsi="宋体" w:eastAsia="宋体" w:cs="Times New Roman"/>
                <w:color w:val="auto"/>
                <w:sz w:val="18"/>
                <w:szCs w:val="18"/>
                <w:lang w:val="en-US" w:eastAsia="zh-CN"/>
              </w:rPr>
              <w:t>3、电池板：</w:t>
            </w:r>
          </w:p>
          <w:p w14:paraId="0485434B">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宋体" w:hAnsi="宋体" w:eastAsia="宋体" w:cs="Times New Roman"/>
                <w:color w:val="auto"/>
                <w:sz w:val="18"/>
                <w:szCs w:val="18"/>
                <w:lang w:val="en-US" w:eastAsia="zh-CN"/>
              </w:rPr>
            </w:pPr>
            <w:r>
              <w:rPr>
                <w:rFonts w:hint="default" w:ascii="宋体" w:hAnsi="宋体" w:eastAsia="宋体" w:cs="Times New Roman"/>
                <w:color w:val="auto"/>
                <w:sz w:val="18"/>
                <w:szCs w:val="18"/>
                <w:lang w:val="en-US" w:eastAsia="zh-CN"/>
              </w:rPr>
              <w:t xml:space="preserve">太阳能光伏板，▲功率≥100W（+5%内）。多晶硅，转换率＞18%，4时段控制功能。可变功率，有过充过放及防反接功能，平均寿命≥10年。 </w:t>
            </w:r>
          </w:p>
          <w:p w14:paraId="1A1C2F7B">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宋体" w:hAnsi="宋体" w:eastAsia="宋体" w:cs="Times New Roman"/>
                <w:color w:val="auto"/>
                <w:sz w:val="18"/>
                <w:szCs w:val="18"/>
                <w:lang w:val="en-US" w:eastAsia="zh-CN"/>
              </w:rPr>
            </w:pPr>
            <w:r>
              <w:rPr>
                <w:rFonts w:hint="default" w:ascii="宋体" w:hAnsi="宋体" w:eastAsia="宋体" w:cs="Times New Roman"/>
                <w:color w:val="auto"/>
                <w:sz w:val="18"/>
                <w:szCs w:val="18"/>
                <w:lang w:val="en-US" w:eastAsia="zh-CN"/>
              </w:rPr>
              <w:t>4、蓄电池：</w:t>
            </w:r>
          </w:p>
          <w:p w14:paraId="6A5FDB3E">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宋体" w:hAnsi="宋体" w:eastAsia="宋体" w:cs="Times New Roman"/>
                <w:color w:val="auto"/>
                <w:sz w:val="18"/>
                <w:szCs w:val="18"/>
                <w:lang w:val="en-US" w:eastAsia="zh-CN"/>
              </w:rPr>
            </w:pPr>
            <w:r>
              <w:rPr>
                <w:rFonts w:hint="default" w:ascii="宋体" w:hAnsi="宋体" w:eastAsia="宋体" w:cs="Times New Roman"/>
                <w:color w:val="auto"/>
                <w:sz w:val="18"/>
                <w:szCs w:val="18"/>
                <w:lang w:val="en-US" w:eastAsia="zh-CN"/>
              </w:rPr>
              <w:t xml:space="preserve">太阳能专用锂电池，▲额定容量≥50AH（+5%内）。 灯头内置，寿命≥10年。 </w:t>
            </w:r>
          </w:p>
          <w:p w14:paraId="2B18E23E">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宋体" w:hAnsi="宋体" w:eastAsia="宋体" w:cs="Times New Roman"/>
                <w:color w:val="auto"/>
                <w:sz w:val="18"/>
                <w:szCs w:val="18"/>
                <w:lang w:val="en-US" w:eastAsia="zh-CN"/>
              </w:rPr>
            </w:pPr>
            <w:r>
              <w:rPr>
                <w:rFonts w:hint="default" w:ascii="宋体" w:hAnsi="宋体" w:eastAsia="宋体" w:cs="Times New Roman"/>
                <w:color w:val="auto"/>
                <w:sz w:val="18"/>
                <w:szCs w:val="18"/>
                <w:lang w:val="en-US" w:eastAsia="zh-CN"/>
              </w:rPr>
              <w:t>亮灯时间：12小时。</w:t>
            </w:r>
          </w:p>
          <w:p w14:paraId="6EB4BD7A">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宋体" w:hAnsi="宋体" w:eastAsia="宋体" w:cs="Times New Roman"/>
                <w:color w:val="auto"/>
                <w:sz w:val="18"/>
                <w:szCs w:val="18"/>
                <w:lang w:val="en-US" w:eastAsia="zh-CN"/>
              </w:rPr>
            </w:pPr>
            <w:r>
              <w:rPr>
                <w:rFonts w:hint="default" w:ascii="宋体" w:hAnsi="宋体" w:eastAsia="宋体" w:cs="Times New Roman"/>
                <w:color w:val="auto"/>
                <w:sz w:val="18"/>
                <w:szCs w:val="18"/>
                <w:lang w:val="en-US" w:eastAsia="zh-CN"/>
              </w:rPr>
              <w:t>5、基础：500*500*800mm，C30混凝土（含基础预埋件）（最终以灯具厂家尺寸为准）。</w:t>
            </w:r>
          </w:p>
        </w:tc>
        <w:tc>
          <w:tcPr>
            <w:tcW w:w="831" w:type="dxa"/>
            <w:vAlign w:val="center"/>
          </w:tcPr>
          <w:p w14:paraId="09B06917">
            <w:pPr>
              <w:jc w:val="center"/>
              <w:rPr>
                <w:rFonts w:hint="eastAsia" w:ascii="宋体" w:hAnsi="宋体" w:eastAsia="宋体"/>
                <w:b/>
                <w:bCs/>
                <w:color w:val="auto"/>
                <w:sz w:val="28"/>
                <w:szCs w:val="28"/>
                <w:vertAlign w:val="baseline"/>
                <w:lang w:val="en-US" w:eastAsia="zh-CN"/>
              </w:rPr>
            </w:pPr>
            <w:r>
              <w:rPr>
                <w:rFonts w:hint="eastAsia" w:ascii="宋体" w:hAnsi="宋体" w:cs="Times New Roman"/>
                <w:color w:val="auto"/>
                <w:sz w:val="18"/>
                <w:szCs w:val="18"/>
                <w:lang w:val="en-US" w:eastAsia="zh-CN"/>
              </w:rPr>
              <w:t>套</w:t>
            </w:r>
          </w:p>
        </w:tc>
        <w:tc>
          <w:tcPr>
            <w:tcW w:w="776" w:type="dxa"/>
            <w:vAlign w:val="center"/>
          </w:tcPr>
          <w:p w14:paraId="0948762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b/>
                <w:bCs/>
                <w:color w:val="auto"/>
                <w:sz w:val="28"/>
                <w:szCs w:val="28"/>
                <w:vertAlign w:val="baseline"/>
                <w:lang w:val="en-US" w:eastAsia="zh-CN"/>
              </w:rPr>
            </w:pPr>
            <w:r>
              <w:rPr>
                <w:rFonts w:hint="eastAsia" w:ascii="宋体" w:hAnsi="宋体" w:cs="Times New Roman"/>
                <w:color w:val="auto"/>
                <w:sz w:val="18"/>
                <w:szCs w:val="18"/>
                <w:lang w:val="en-US" w:eastAsia="zh-CN"/>
              </w:rPr>
              <w:t>22</w:t>
            </w:r>
          </w:p>
        </w:tc>
        <w:tc>
          <w:tcPr>
            <w:tcW w:w="884" w:type="dxa"/>
          </w:tcPr>
          <w:p w14:paraId="10895CDE">
            <w:pPr>
              <w:jc w:val="center"/>
              <w:rPr>
                <w:rFonts w:hint="eastAsia" w:ascii="宋体" w:hAnsi="宋体" w:eastAsia="宋体"/>
                <w:b/>
                <w:bCs/>
                <w:color w:val="auto"/>
                <w:sz w:val="28"/>
                <w:szCs w:val="28"/>
                <w:vertAlign w:val="baseline"/>
              </w:rPr>
            </w:pPr>
          </w:p>
        </w:tc>
        <w:tc>
          <w:tcPr>
            <w:tcW w:w="906" w:type="dxa"/>
          </w:tcPr>
          <w:p w14:paraId="4C04D267">
            <w:pPr>
              <w:jc w:val="center"/>
              <w:rPr>
                <w:rFonts w:hint="eastAsia" w:ascii="宋体" w:hAnsi="宋体" w:eastAsia="宋体"/>
                <w:b/>
                <w:bCs/>
                <w:color w:val="auto"/>
                <w:sz w:val="28"/>
                <w:szCs w:val="28"/>
                <w:vertAlign w:val="baseline"/>
              </w:rPr>
            </w:pPr>
          </w:p>
        </w:tc>
        <w:tc>
          <w:tcPr>
            <w:tcW w:w="862" w:type="dxa"/>
          </w:tcPr>
          <w:p w14:paraId="7B231526">
            <w:pPr>
              <w:jc w:val="center"/>
              <w:rPr>
                <w:rFonts w:hint="eastAsia" w:ascii="宋体" w:hAnsi="宋体" w:eastAsia="宋体"/>
                <w:b/>
                <w:bCs/>
                <w:color w:val="auto"/>
                <w:sz w:val="28"/>
                <w:szCs w:val="28"/>
                <w:vertAlign w:val="baseline"/>
              </w:rPr>
            </w:pPr>
          </w:p>
        </w:tc>
        <w:tc>
          <w:tcPr>
            <w:tcW w:w="909" w:type="dxa"/>
          </w:tcPr>
          <w:p w14:paraId="4FD9511C">
            <w:pPr>
              <w:jc w:val="center"/>
              <w:rPr>
                <w:rFonts w:hint="eastAsia" w:ascii="宋体" w:hAnsi="宋体" w:eastAsia="宋体"/>
                <w:b/>
                <w:bCs/>
                <w:color w:val="auto"/>
                <w:sz w:val="28"/>
                <w:szCs w:val="28"/>
                <w:vertAlign w:val="baseline"/>
              </w:rPr>
            </w:pPr>
          </w:p>
        </w:tc>
      </w:tr>
      <w:tr w14:paraId="17095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641" w:type="dxa"/>
            <w:vAlign w:val="center"/>
          </w:tcPr>
          <w:p w14:paraId="3B548CC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b w:val="0"/>
                <w:bCs w:val="0"/>
                <w:color w:val="auto"/>
                <w:sz w:val="21"/>
                <w:szCs w:val="21"/>
                <w:vertAlign w:val="baseline"/>
                <w:lang w:val="en-US" w:eastAsia="zh-CN"/>
              </w:rPr>
            </w:pPr>
            <w:r>
              <w:rPr>
                <w:rFonts w:hint="eastAsia" w:ascii="宋体" w:hAnsi="宋体"/>
                <w:b w:val="0"/>
                <w:bCs w:val="0"/>
                <w:color w:val="auto"/>
                <w:sz w:val="21"/>
                <w:szCs w:val="21"/>
                <w:vertAlign w:val="baseline"/>
                <w:lang w:val="en-US" w:eastAsia="zh-CN"/>
              </w:rPr>
              <w:t>3</w:t>
            </w:r>
          </w:p>
        </w:tc>
        <w:tc>
          <w:tcPr>
            <w:tcW w:w="1159" w:type="dxa"/>
            <w:vAlign w:val="center"/>
          </w:tcPr>
          <w:p w14:paraId="0350203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b w:val="0"/>
                <w:bCs w:val="0"/>
                <w:color w:val="auto"/>
                <w:sz w:val="21"/>
                <w:szCs w:val="21"/>
                <w:vertAlign w:val="baseline"/>
                <w:lang w:val="en-US" w:eastAsia="zh-CN"/>
              </w:rPr>
            </w:pPr>
            <w:r>
              <w:rPr>
                <w:rFonts w:hint="eastAsia" w:ascii="宋体" w:hAnsi="宋体" w:eastAsia="宋体" w:cs="宋体"/>
                <w:i w:val="0"/>
                <w:iCs w:val="0"/>
                <w:color w:val="auto"/>
                <w:sz w:val="18"/>
                <w:szCs w:val="18"/>
                <w:highlight w:val="none"/>
                <w:u w:val="none"/>
                <w:lang w:val="en-US" w:eastAsia="zh-CN"/>
              </w:rPr>
              <w:t>太阳能路灯（借杆）</w:t>
            </w:r>
          </w:p>
        </w:tc>
        <w:tc>
          <w:tcPr>
            <w:tcW w:w="4064" w:type="dxa"/>
            <w:shd w:val="clear" w:color="auto" w:fill="auto"/>
            <w:vAlign w:val="center"/>
          </w:tcPr>
          <w:p w14:paraId="3A54865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1、灯杆：借杆（材质等报价人自行踏勘现场）。</w:t>
            </w:r>
          </w:p>
          <w:p w14:paraId="117E82F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2、灯具：</w:t>
            </w:r>
          </w:p>
          <w:p w14:paraId="198E7BF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 xml:space="preserve">▲光源功率 60W(±1W)。 </w:t>
            </w:r>
          </w:p>
          <w:p w14:paraId="4B49709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 xml:space="preserve">▲显色指数＞80。 </w:t>
            </w:r>
          </w:p>
          <w:p w14:paraId="15C897E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 xml:space="preserve">▲色温6500K(±100K)。 </w:t>
            </w:r>
          </w:p>
          <w:p w14:paraId="7D89883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 xml:space="preserve">▲灯具尺寸：520*205*95mm。 </w:t>
            </w:r>
          </w:p>
          <w:p w14:paraId="42BDD86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 xml:space="preserve">▲防护等级IP65。 </w:t>
            </w:r>
          </w:p>
          <w:p w14:paraId="6EDD0D4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 xml:space="preserve">▲符合 GB7000.203（GB7000.1）标准耐久性和热试验。 </w:t>
            </w:r>
          </w:p>
          <w:p w14:paraId="49AD2DB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 xml:space="preserve">外壳采用全铝压铸、全密封构、外表 光滑，灯具结构设计合理、强度高。平均寿命＞50000小时。光衰＜3%，性能稳定。 </w:t>
            </w:r>
          </w:p>
          <w:p w14:paraId="7321E1F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 xml:space="preserve">3、蓄电池：太阳能专用锂电池，▲额定容量≥50AH（+5%内）。 灯头内置，寿命≥10年。 </w:t>
            </w:r>
          </w:p>
          <w:p w14:paraId="3C3AD81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亮灯时间：12小时。</w:t>
            </w:r>
          </w:p>
          <w:p w14:paraId="27CB3F4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4、电池板：太阳能光伏板，▲功率≥100W（+5%内）。 多晶硅，转换率＞18%，4时段控制功能。可变功率，有过充过放及防反接功能，平均寿命≥10年。</w:t>
            </w:r>
          </w:p>
          <w:p w14:paraId="66A202F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kern w:val="2"/>
                <w:sz w:val="21"/>
                <w:szCs w:val="24"/>
                <w:lang w:val="en-US" w:eastAsia="zh-CN" w:bidi="ar-SA"/>
              </w:rPr>
            </w:pPr>
            <w:r>
              <w:rPr>
                <w:rFonts w:hint="eastAsia" w:ascii="宋体" w:hAnsi="宋体" w:eastAsia="宋体" w:cs="宋体"/>
                <w:color w:val="auto"/>
                <w:kern w:val="2"/>
                <w:sz w:val="18"/>
                <w:szCs w:val="18"/>
                <w:lang w:val="en-US" w:eastAsia="zh-CN" w:bidi="ar-SA"/>
              </w:rPr>
              <w:t>5、支架：采用Q235优质钢材,口径为60圆管，壁厚≥2.3mm，壁长1m，底部焊接固定底座；整体热镀锌，静电喷塑防腐处理，含太阳能支架、抱箍、配件等。</w:t>
            </w:r>
          </w:p>
        </w:tc>
        <w:tc>
          <w:tcPr>
            <w:tcW w:w="831" w:type="dxa"/>
            <w:vAlign w:val="center"/>
          </w:tcPr>
          <w:p w14:paraId="51C62289">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宋体" w:hAnsi="宋体" w:eastAsia="宋体"/>
                <w:b/>
                <w:bCs/>
                <w:color w:val="auto"/>
                <w:sz w:val="28"/>
                <w:szCs w:val="28"/>
                <w:vertAlign w:val="baseline"/>
              </w:rPr>
            </w:pPr>
            <w:r>
              <w:rPr>
                <w:rFonts w:hint="eastAsia" w:ascii="宋体" w:hAnsi="宋体" w:cs="Times New Roman"/>
                <w:color w:val="auto"/>
                <w:sz w:val="18"/>
                <w:szCs w:val="18"/>
                <w:lang w:val="en-US" w:eastAsia="zh-CN"/>
              </w:rPr>
              <w:t>套</w:t>
            </w:r>
          </w:p>
        </w:tc>
        <w:tc>
          <w:tcPr>
            <w:tcW w:w="776" w:type="dxa"/>
            <w:vAlign w:val="center"/>
          </w:tcPr>
          <w:p w14:paraId="4A13CFC6">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宋体" w:hAnsi="宋体" w:eastAsia="宋体"/>
                <w:b/>
                <w:bCs/>
                <w:color w:val="auto"/>
                <w:sz w:val="28"/>
                <w:szCs w:val="28"/>
                <w:vertAlign w:val="baseline"/>
                <w:lang w:val="en-US" w:eastAsia="zh-CN"/>
              </w:rPr>
            </w:pPr>
            <w:r>
              <w:rPr>
                <w:rFonts w:hint="eastAsia" w:ascii="宋体" w:hAnsi="宋体" w:cs="Times New Roman"/>
                <w:color w:val="auto"/>
                <w:sz w:val="18"/>
                <w:szCs w:val="18"/>
                <w:lang w:val="en-US" w:eastAsia="zh-CN"/>
              </w:rPr>
              <w:t>536</w:t>
            </w:r>
          </w:p>
        </w:tc>
        <w:tc>
          <w:tcPr>
            <w:tcW w:w="884" w:type="dxa"/>
          </w:tcPr>
          <w:p w14:paraId="022D0B39">
            <w:pPr>
              <w:rPr>
                <w:rFonts w:hint="eastAsia" w:ascii="宋体" w:hAnsi="宋体" w:eastAsia="宋体"/>
                <w:b/>
                <w:bCs/>
                <w:color w:val="auto"/>
                <w:sz w:val="28"/>
                <w:szCs w:val="28"/>
                <w:vertAlign w:val="baseline"/>
              </w:rPr>
            </w:pPr>
          </w:p>
        </w:tc>
        <w:tc>
          <w:tcPr>
            <w:tcW w:w="906" w:type="dxa"/>
          </w:tcPr>
          <w:p w14:paraId="66A0D43F">
            <w:pPr>
              <w:rPr>
                <w:rFonts w:hint="eastAsia" w:ascii="宋体" w:hAnsi="宋体" w:eastAsia="宋体"/>
                <w:b/>
                <w:bCs/>
                <w:color w:val="auto"/>
                <w:sz w:val="28"/>
                <w:szCs w:val="28"/>
                <w:vertAlign w:val="baseline"/>
              </w:rPr>
            </w:pPr>
          </w:p>
        </w:tc>
        <w:tc>
          <w:tcPr>
            <w:tcW w:w="862" w:type="dxa"/>
          </w:tcPr>
          <w:p w14:paraId="35537D65">
            <w:pPr>
              <w:rPr>
                <w:rFonts w:hint="eastAsia" w:ascii="宋体" w:hAnsi="宋体" w:eastAsia="宋体"/>
                <w:b/>
                <w:bCs/>
                <w:color w:val="auto"/>
                <w:sz w:val="28"/>
                <w:szCs w:val="28"/>
                <w:vertAlign w:val="baseline"/>
              </w:rPr>
            </w:pPr>
          </w:p>
        </w:tc>
        <w:tc>
          <w:tcPr>
            <w:tcW w:w="909" w:type="dxa"/>
          </w:tcPr>
          <w:p w14:paraId="47A5CFF9">
            <w:pPr>
              <w:rPr>
                <w:rFonts w:hint="eastAsia" w:ascii="宋体" w:hAnsi="宋体" w:eastAsia="宋体"/>
                <w:b/>
                <w:bCs/>
                <w:color w:val="auto"/>
                <w:sz w:val="28"/>
                <w:szCs w:val="28"/>
                <w:vertAlign w:val="baseline"/>
              </w:rPr>
            </w:pPr>
          </w:p>
        </w:tc>
      </w:tr>
      <w:tr w14:paraId="1AB5F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641" w:type="dxa"/>
            <w:vAlign w:val="center"/>
          </w:tcPr>
          <w:p w14:paraId="5B3946DC">
            <w:pPr>
              <w:jc w:val="center"/>
              <w:rPr>
                <w:rFonts w:hint="eastAsia" w:ascii="宋体" w:hAnsi="宋体" w:cs="Times New Roman"/>
                <w:b/>
                <w:bCs/>
                <w:color w:val="auto"/>
                <w:sz w:val="24"/>
                <w:szCs w:val="24"/>
                <w:vertAlign w:val="baseline"/>
                <w:lang w:val="en-US" w:eastAsia="zh-CN"/>
              </w:rPr>
            </w:pPr>
            <w:r>
              <w:rPr>
                <w:rFonts w:hint="eastAsia" w:ascii="宋体" w:hAnsi="宋体" w:cs="Times New Roman"/>
                <w:b/>
                <w:bCs/>
                <w:color w:val="auto"/>
                <w:kern w:val="0"/>
                <w:sz w:val="24"/>
                <w:szCs w:val="24"/>
                <w:lang w:val="en-US" w:eastAsia="zh-CN"/>
              </w:rPr>
              <w:t>合计</w:t>
            </w:r>
          </w:p>
        </w:tc>
        <w:tc>
          <w:tcPr>
            <w:tcW w:w="10391" w:type="dxa"/>
            <w:gridSpan w:val="8"/>
          </w:tcPr>
          <w:p w14:paraId="6E57C6C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cs="Times New Roman"/>
                <w:b/>
                <w:bCs/>
                <w:color w:val="auto"/>
                <w:kern w:val="0"/>
                <w:sz w:val="24"/>
                <w:szCs w:val="24"/>
                <w:lang w:val="en-US" w:eastAsia="zh-CN"/>
              </w:rPr>
            </w:pPr>
            <w:r>
              <w:rPr>
                <w:rFonts w:hint="eastAsia" w:ascii="宋体" w:hAnsi="宋体" w:cs="Times New Roman"/>
                <w:b/>
                <w:bCs/>
                <w:color w:val="auto"/>
                <w:kern w:val="0"/>
                <w:sz w:val="24"/>
                <w:szCs w:val="24"/>
                <w:lang w:val="en-US" w:eastAsia="zh-CN"/>
              </w:rPr>
              <w:t>大写：</w:t>
            </w:r>
          </w:p>
          <w:p w14:paraId="54F8888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cs="Times New Roman"/>
                <w:b/>
                <w:bCs/>
                <w:color w:val="auto"/>
                <w:kern w:val="0"/>
                <w:sz w:val="24"/>
                <w:szCs w:val="24"/>
                <w:lang w:val="en-US" w:eastAsia="zh-CN"/>
              </w:rPr>
            </w:pPr>
            <w:r>
              <w:rPr>
                <w:rFonts w:hint="eastAsia" w:ascii="宋体" w:hAnsi="宋体" w:cs="Times New Roman"/>
                <w:b/>
                <w:bCs/>
                <w:color w:val="auto"/>
                <w:kern w:val="0"/>
                <w:sz w:val="24"/>
                <w:szCs w:val="24"/>
                <w:lang w:val="en-US" w:eastAsia="zh-CN"/>
              </w:rPr>
              <w:t>小写：</w:t>
            </w:r>
          </w:p>
        </w:tc>
      </w:tr>
    </w:tbl>
    <w:p w14:paraId="5E48EF4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b/>
          <w:bCs/>
          <w:color w:val="000000" w:themeColor="text1"/>
          <w:kern w:val="0"/>
          <w:sz w:val="21"/>
          <w:szCs w:val="21"/>
          <w:lang w:val="en-US" w:eastAsia="zh-CN"/>
          <w14:textFill>
            <w14:solidFill>
              <w14:schemeClr w14:val="tx1"/>
            </w14:solidFill>
          </w14:textFill>
        </w:rPr>
      </w:pPr>
      <w:r>
        <w:rPr>
          <w:rFonts w:hint="eastAsia" w:ascii="宋体" w:hAnsi="宋体" w:eastAsia="宋体"/>
          <w:b/>
          <w:bCs/>
          <w:color w:val="000000" w:themeColor="text1"/>
          <w:kern w:val="0"/>
          <w:sz w:val="21"/>
          <w:szCs w:val="21"/>
          <w:lang w:val="en-US" w:eastAsia="zh-CN"/>
          <w14:textFill>
            <w14:solidFill>
              <w14:schemeClr w14:val="tx1"/>
            </w14:solidFill>
          </w14:textFill>
        </w:rPr>
        <w:t>注：</w:t>
      </w:r>
      <w:r>
        <w:rPr>
          <w:rFonts w:hint="eastAsia" w:ascii="宋体" w:hAnsi="宋体"/>
          <w:b/>
          <w:bCs/>
          <w:color w:val="000000" w:themeColor="text1"/>
          <w:kern w:val="0"/>
          <w:sz w:val="21"/>
          <w:szCs w:val="21"/>
          <w:lang w:val="en-US" w:eastAsia="zh-CN"/>
          <w14:textFill>
            <w14:solidFill>
              <w14:schemeClr w14:val="tx1"/>
            </w14:solidFill>
          </w14:textFill>
        </w:rPr>
        <w:t>1.</w:t>
      </w:r>
      <w:r>
        <w:rPr>
          <w:rFonts w:hint="eastAsia" w:ascii="宋体" w:hAnsi="宋体" w:eastAsia="宋体"/>
          <w:b/>
          <w:bCs/>
          <w:color w:val="000000" w:themeColor="text1"/>
          <w:kern w:val="0"/>
          <w:sz w:val="21"/>
          <w:szCs w:val="21"/>
          <w:lang w:val="en-US" w:eastAsia="zh-CN"/>
          <w14:textFill>
            <w14:solidFill>
              <w14:schemeClr w14:val="tx1"/>
            </w14:solidFill>
          </w14:textFill>
        </w:rPr>
        <w:t>本报价表须机打并加盖报价单位公章，手填无效。所有涉及报价的页面均须加盖单位公章，否则视为无效报价。</w:t>
      </w:r>
      <w:r>
        <w:rPr>
          <w:rFonts w:hint="eastAsia" w:ascii="宋体" w:hAnsi="宋体"/>
          <w:b/>
          <w:bCs/>
          <w:color w:val="000000" w:themeColor="text1"/>
          <w:kern w:val="0"/>
          <w:sz w:val="21"/>
          <w:szCs w:val="21"/>
          <w:lang w:val="en-US" w:eastAsia="zh-CN"/>
          <w14:textFill>
            <w14:solidFill>
              <w14:schemeClr w14:val="tx1"/>
            </w14:solidFill>
          </w14:textFill>
        </w:rPr>
        <w:t>2.本报价表后附其他相关材料。</w:t>
      </w:r>
    </w:p>
    <w:p w14:paraId="1294B12E">
      <w:pPr>
        <w:pStyle w:val="2"/>
        <w:rPr>
          <w:rFonts w:hint="eastAsia"/>
          <w:lang w:val="en-US" w:eastAsia="zh-CN"/>
        </w:rPr>
      </w:pPr>
    </w:p>
    <w:p w14:paraId="454DEE0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b/>
          <w:bCs/>
          <w:color w:val="000000"/>
          <w:kern w:val="0"/>
          <w:sz w:val="24"/>
          <w:szCs w:val="24"/>
          <w:lang w:val="en-US" w:eastAsia="zh-CN"/>
        </w:rPr>
      </w:pPr>
      <w:r>
        <w:rPr>
          <w:rFonts w:hint="eastAsia" w:ascii="宋体" w:hAnsi="宋体" w:eastAsia="宋体"/>
          <w:b/>
          <w:bCs/>
          <w:color w:val="000000"/>
          <w:kern w:val="0"/>
          <w:sz w:val="24"/>
          <w:szCs w:val="24"/>
          <w:lang w:val="en-US" w:eastAsia="zh-CN"/>
        </w:rPr>
        <w:t xml:space="preserve">报价单位（盖章）：           </w:t>
      </w:r>
    </w:p>
    <w:p w14:paraId="3F5528F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b/>
          <w:bCs/>
          <w:color w:val="000000"/>
          <w:kern w:val="0"/>
          <w:sz w:val="24"/>
          <w:szCs w:val="24"/>
          <w:lang w:val="en-US" w:eastAsia="zh-CN"/>
        </w:rPr>
      </w:pPr>
      <w:r>
        <w:rPr>
          <w:rFonts w:hint="eastAsia" w:ascii="宋体" w:hAnsi="宋体" w:eastAsia="宋体"/>
          <w:b/>
          <w:bCs/>
          <w:color w:val="000000"/>
          <w:kern w:val="0"/>
          <w:sz w:val="24"/>
          <w:szCs w:val="24"/>
          <w:lang w:val="en-US" w:eastAsia="zh-CN"/>
        </w:rPr>
        <w:t xml:space="preserve">联 系 人：        </w:t>
      </w:r>
    </w:p>
    <w:p w14:paraId="643405D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b/>
          <w:bCs/>
          <w:color w:val="000000"/>
          <w:kern w:val="0"/>
          <w:sz w:val="24"/>
          <w:szCs w:val="24"/>
          <w:lang w:val="en-US" w:eastAsia="zh-CN"/>
        </w:rPr>
      </w:pPr>
      <w:r>
        <w:rPr>
          <w:rFonts w:hint="eastAsia" w:ascii="宋体" w:hAnsi="宋体" w:eastAsia="宋体"/>
          <w:b/>
          <w:bCs/>
          <w:color w:val="000000"/>
          <w:kern w:val="0"/>
          <w:sz w:val="24"/>
          <w:szCs w:val="24"/>
          <w:lang w:val="en-US" w:eastAsia="zh-CN"/>
        </w:rPr>
        <w:t>联系电话：</w:t>
      </w:r>
      <w:r>
        <w:rPr>
          <w:rFonts w:hint="eastAsia" w:ascii="宋体" w:hAnsi="宋体" w:eastAsia="宋体"/>
          <w:b/>
          <w:bCs/>
          <w:color w:val="000000"/>
          <w:kern w:val="0"/>
          <w:sz w:val="24"/>
          <w:szCs w:val="24"/>
          <w:lang w:val="en-US" w:eastAsia="zh-CN"/>
        </w:rPr>
        <w:tab/>
      </w:r>
    </w:p>
    <w:p w14:paraId="213300D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宋体" w:hAnsi="宋体" w:eastAsia="宋体"/>
          <w:b/>
          <w:bCs/>
          <w:color w:val="000000"/>
          <w:kern w:val="0"/>
          <w:sz w:val="24"/>
          <w:szCs w:val="24"/>
          <w:lang w:val="en-US" w:eastAsia="zh-CN"/>
        </w:rPr>
      </w:pPr>
      <w:r>
        <w:rPr>
          <w:rFonts w:hint="eastAsia" w:ascii="宋体" w:hAnsi="宋体" w:eastAsia="宋体"/>
          <w:b/>
          <w:bCs/>
          <w:color w:val="000000"/>
          <w:kern w:val="0"/>
          <w:sz w:val="24"/>
          <w:szCs w:val="24"/>
          <w:lang w:val="en-US" w:eastAsia="zh-CN"/>
        </w:rPr>
        <w:t xml:space="preserve">日    期：     年  </w:t>
      </w:r>
      <w:r>
        <w:rPr>
          <w:rFonts w:hint="eastAsia" w:ascii="宋体" w:hAnsi="宋体"/>
          <w:b/>
          <w:bCs/>
          <w:color w:val="000000"/>
          <w:kern w:val="0"/>
          <w:sz w:val="24"/>
          <w:szCs w:val="24"/>
          <w:lang w:val="en-US" w:eastAsia="zh-CN"/>
        </w:rPr>
        <w:t xml:space="preserve"> </w:t>
      </w:r>
      <w:r>
        <w:rPr>
          <w:rFonts w:hint="eastAsia" w:ascii="宋体" w:hAnsi="宋体" w:eastAsia="宋体"/>
          <w:b/>
          <w:bCs/>
          <w:color w:val="000000"/>
          <w:kern w:val="0"/>
          <w:sz w:val="24"/>
          <w:szCs w:val="24"/>
          <w:lang w:val="en-US" w:eastAsia="zh-CN"/>
        </w:rPr>
        <w:t xml:space="preserve">  月  </w:t>
      </w:r>
      <w:r>
        <w:rPr>
          <w:rFonts w:hint="eastAsia" w:ascii="宋体" w:hAnsi="宋体"/>
          <w:b/>
          <w:bCs/>
          <w:color w:val="000000"/>
          <w:kern w:val="0"/>
          <w:sz w:val="24"/>
          <w:szCs w:val="24"/>
          <w:lang w:val="en-US" w:eastAsia="zh-CN"/>
        </w:rPr>
        <w:t xml:space="preserve"> </w:t>
      </w:r>
      <w:r>
        <w:rPr>
          <w:rFonts w:hint="eastAsia" w:ascii="宋体" w:hAnsi="宋体" w:eastAsia="宋体"/>
          <w:b/>
          <w:bCs/>
          <w:color w:val="000000"/>
          <w:kern w:val="0"/>
          <w:sz w:val="24"/>
          <w:szCs w:val="24"/>
          <w:lang w:val="en-US" w:eastAsia="zh-CN"/>
        </w:rPr>
        <w:t xml:space="preserve"> 日</w:t>
      </w:r>
    </w:p>
    <w:p w14:paraId="42BD735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b/>
          <w:bCs/>
          <w:color w:val="auto"/>
          <w:kern w:val="0"/>
          <w:sz w:val="24"/>
          <w:szCs w:val="24"/>
          <w:lang w:val="en-US" w:eastAsia="zh-CN"/>
        </w:rPr>
      </w:pPr>
    </w:p>
    <w:sectPr>
      <w:footerReference r:id="rId3" w:type="default"/>
      <w:pgSz w:w="11906" w:h="16838"/>
      <w:pgMar w:top="1417" w:right="1417" w:bottom="1417"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New Baskerville">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75F9F">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E213DB">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14:paraId="28E213DB">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hdrShapeDefaults>
    <o:shapelayout v:ext="edit">
      <o:idmap v:ext="edit" data="3,4"/>
    </o:shapelayout>
  </w:hdrShapeDefaults>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MGMwYWU0MTQ5MjNjMjk5ZTFhM2U5ZTZmNzRkYWYifQ=="/>
  </w:docVars>
  <w:rsids>
    <w:rsidRoot w:val="00000000"/>
    <w:rsid w:val="00060C6A"/>
    <w:rsid w:val="005D4603"/>
    <w:rsid w:val="007658AF"/>
    <w:rsid w:val="0156177E"/>
    <w:rsid w:val="018F2EE2"/>
    <w:rsid w:val="01FE5971"/>
    <w:rsid w:val="032558AB"/>
    <w:rsid w:val="034A3564"/>
    <w:rsid w:val="03CF75C5"/>
    <w:rsid w:val="04152D65"/>
    <w:rsid w:val="041D42E4"/>
    <w:rsid w:val="04297B18"/>
    <w:rsid w:val="04536448"/>
    <w:rsid w:val="05107934"/>
    <w:rsid w:val="055C30DB"/>
    <w:rsid w:val="05B253F0"/>
    <w:rsid w:val="05F96B7B"/>
    <w:rsid w:val="066342AA"/>
    <w:rsid w:val="072A7934"/>
    <w:rsid w:val="0765096C"/>
    <w:rsid w:val="07702E6D"/>
    <w:rsid w:val="077611A1"/>
    <w:rsid w:val="07794418"/>
    <w:rsid w:val="07BC2556"/>
    <w:rsid w:val="081859DF"/>
    <w:rsid w:val="08BB280E"/>
    <w:rsid w:val="09712215"/>
    <w:rsid w:val="09A10B64"/>
    <w:rsid w:val="09ED2E9B"/>
    <w:rsid w:val="0A037FC9"/>
    <w:rsid w:val="0A4725AB"/>
    <w:rsid w:val="0A6A629A"/>
    <w:rsid w:val="0B1A3A0F"/>
    <w:rsid w:val="0BBE61E5"/>
    <w:rsid w:val="0BE004D6"/>
    <w:rsid w:val="0CA746F4"/>
    <w:rsid w:val="0CAA6E21"/>
    <w:rsid w:val="0CDB347F"/>
    <w:rsid w:val="0D020A0B"/>
    <w:rsid w:val="0D9D70D4"/>
    <w:rsid w:val="0E2F5830"/>
    <w:rsid w:val="0E5B02BF"/>
    <w:rsid w:val="0F5B2655"/>
    <w:rsid w:val="0F683166"/>
    <w:rsid w:val="0F986232"/>
    <w:rsid w:val="102E201C"/>
    <w:rsid w:val="108C7199"/>
    <w:rsid w:val="10C20557"/>
    <w:rsid w:val="10D64689"/>
    <w:rsid w:val="10EA3C90"/>
    <w:rsid w:val="110E5BD1"/>
    <w:rsid w:val="11252F1A"/>
    <w:rsid w:val="11592BC4"/>
    <w:rsid w:val="11895257"/>
    <w:rsid w:val="11934328"/>
    <w:rsid w:val="11A04D7E"/>
    <w:rsid w:val="11E82CE9"/>
    <w:rsid w:val="120B0362"/>
    <w:rsid w:val="121F3E0E"/>
    <w:rsid w:val="12684CE3"/>
    <w:rsid w:val="131D5E6E"/>
    <w:rsid w:val="13763F01"/>
    <w:rsid w:val="139879D4"/>
    <w:rsid w:val="13BD568C"/>
    <w:rsid w:val="150A2B53"/>
    <w:rsid w:val="17982698"/>
    <w:rsid w:val="17BF2904"/>
    <w:rsid w:val="17E05DED"/>
    <w:rsid w:val="181141F9"/>
    <w:rsid w:val="18972950"/>
    <w:rsid w:val="18993E76"/>
    <w:rsid w:val="18B90B18"/>
    <w:rsid w:val="18CD45C3"/>
    <w:rsid w:val="19185113"/>
    <w:rsid w:val="195F09D5"/>
    <w:rsid w:val="19A93801"/>
    <w:rsid w:val="1A5358A1"/>
    <w:rsid w:val="1A670100"/>
    <w:rsid w:val="1A6C3968"/>
    <w:rsid w:val="1A775FA7"/>
    <w:rsid w:val="1AC92B69"/>
    <w:rsid w:val="1AEE25CF"/>
    <w:rsid w:val="1AFC4CEC"/>
    <w:rsid w:val="1B99253B"/>
    <w:rsid w:val="1BDE5D68"/>
    <w:rsid w:val="1BE7774A"/>
    <w:rsid w:val="1CB810E7"/>
    <w:rsid w:val="1CC7132A"/>
    <w:rsid w:val="1E16761F"/>
    <w:rsid w:val="1EA04A65"/>
    <w:rsid w:val="1F0C74C8"/>
    <w:rsid w:val="1FC95A99"/>
    <w:rsid w:val="1FD60202"/>
    <w:rsid w:val="1FFB37C4"/>
    <w:rsid w:val="203B5547"/>
    <w:rsid w:val="205D7D1A"/>
    <w:rsid w:val="21112456"/>
    <w:rsid w:val="21555753"/>
    <w:rsid w:val="21A352F4"/>
    <w:rsid w:val="228D0920"/>
    <w:rsid w:val="2295268E"/>
    <w:rsid w:val="236C49D9"/>
    <w:rsid w:val="23AD1279"/>
    <w:rsid w:val="240D7F6A"/>
    <w:rsid w:val="252E1F46"/>
    <w:rsid w:val="254C4FDE"/>
    <w:rsid w:val="256F1D62"/>
    <w:rsid w:val="27951EA1"/>
    <w:rsid w:val="27F67446"/>
    <w:rsid w:val="289533C0"/>
    <w:rsid w:val="28CE5A0A"/>
    <w:rsid w:val="28ED236C"/>
    <w:rsid w:val="29BF5862"/>
    <w:rsid w:val="2A4C2BDF"/>
    <w:rsid w:val="2B406E77"/>
    <w:rsid w:val="2B6109B1"/>
    <w:rsid w:val="2BCB1C70"/>
    <w:rsid w:val="2C3047F6"/>
    <w:rsid w:val="2C972AC7"/>
    <w:rsid w:val="2CB2345D"/>
    <w:rsid w:val="2CE83322"/>
    <w:rsid w:val="2DA46F1E"/>
    <w:rsid w:val="2E383E35"/>
    <w:rsid w:val="2E431D9A"/>
    <w:rsid w:val="2E494E75"/>
    <w:rsid w:val="2E9B6172"/>
    <w:rsid w:val="2EFC3AB9"/>
    <w:rsid w:val="2F771232"/>
    <w:rsid w:val="303D36C4"/>
    <w:rsid w:val="307D6477"/>
    <w:rsid w:val="30F54260"/>
    <w:rsid w:val="3150593A"/>
    <w:rsid w:val="318A61CD"/>
    <w:rsid w:val="328E671A"/>
    <w:rsid w:val="33F97BC3"/>
    <w:rsid w:val="34736881"/>
    <w:rsid w:val="34B31B60"/>
    <w:rsid w:val="34B55E53"/>
    <w:rsid w:val="34E275EB"/>
    <w:rsid w:val="355E6877"/>
    <w:rsid w:val="35AA386B"/>
    <w:rsid w:val="369F7DF7"/>
    <w:rsid w:val="36AA1228"/>
    <w:rsid w:val="37AB5678"/>
    <w:rsid w:val="37AF33BA"/>
    <w:rsid w:val="37B565B2"/>
    <w:rsid w:val="3842576A"/>
    <w:rsid w:val="38806B05"/>
    <w:rsid w:val="38BB7B3D"/>
    <w:rsid w:val="38D97FC3"/>
    <w:rsid w:val="38F941A4"/>
    <w:rsid w:val="39112318"/>
    <w:rsid w:val="39406294"/>
    <w:rsid w:val="3962620A"/>
    <w:rsid w:val="397A7884"/>
    <w:rsid w:val="397F0B6A"/>
    <w:rsid w:val="398B5A50"/>
    <w:rsid w:val="3994368E"/>
    <w:rsid w:val="39A46823"/>
    <w:rsid w:val="39E45F74"/>
    <w:rsid w:val="3A1C273B"/>
    <w:rsid w:val="3A3D7EDC"/>
    <w:rsid w:val="3A6B3202"/>
    <w:rsid w:val="3ACE07FD"/>
    <w:rsid w:val="3AF9494C"/>
    <w:rsid w:val="3C0B2B89"/>
    <w:rsid w:val="3C720E5A"/>
    <w:rsid w:val="3C77021F"/>
    <w:rsid w:val="3DBD6105"/>
    <w:rsid w:val="3DC23CD2"/>
    <w:rsid w:val="40012ECA"/>
    <w:rsid w:val="40A435AC"/>
    <w:rsid w:val="40C63523"/>
    <w:rsid w:val="41A27AEC"/>
    <w:rsid w:val="42186000"/>
    <w:rsid w:val="42264FBB"/>
    <w:rsid w:val="425F3C2F"/>
    <w:rsid w:val="42EB101F"/>
    <w:rsid w:val="42FB5880"/>
    <w:rsid w:val="43627260"/>
    <w:rsid w:val="44250560"/>
    <w:rsid w:val="45790B64"/>
    <w:rsid w:val="45A7579D"/>
    <w:rsid w:val="45B1654F"/>
    <w:rsid w:val="46B837C8"/>
    <w:rsid w:val="46DD7A39"/>
    <w:rsid w:val="46FD7572"/>
    <w:rsid w:val="47A3636C"/>
    <w:rsid w:val="47BC742D"/>
    <w:rsid w:val="47FE17F4"/>
    <w:rsid w:val="480F5A36"/>
    <w:rsid w:val="487D2E9C"/>
    <w:rsid w:val="48F7696F"/>
    <w:rsid w:val="49303C2F"/>
    <w:rsid w:val="49840438"/>
    <w:rsid w:val="4A1C53BF"/>
    <w:rsid w:val="4A4E67FA"/>
    <w:rsid w:val="4A897A9B"/>
    <w:rsid w:val="4AAC19DB"/>
    <w:rsid w:val="4B6F1B21"/>
    <w:rsid w:val="4B885FA4"/>
    <w:rsid w:val="4BB24DCF"/>
    <w:rsid w:val="4C17004E"/>
    <w:rsid w:val="4C651E42"/>
    <w:rsid w:val="4C673E0C"/>
    <w:rsid w:val="4D0E072B"/>
    <w:rsid w:val="4D3F08E5"/>
    <w:rsid w:val="4F8E7901"/>
    <w:rsid w:val="5059663C"/>
    <w:rsid w:val="50782506"/>
    <w:rsid w:val="51907961"/>
    <w:rsid w:val="524A1938"/>
    <w:rsid w:val="530C5752"/>
    <w:rsid w:val="53227B62"/>
    <w:rsid w:val="53D855EF"/>
    <w:rsid w:val="53DF072C"/>
    <w:rsid w:val="53E126F6"/>
    <w:rsid w:val="54A61249"/>
    <w:rsid w:val="54C53DC5"/>
    <w:rsid w:val="55361378"/>
    <w:rsid w:val="5560566C"/>
    <w:rsid w:val="55674E7D"/>
    <w:rsid w:val="55713605"/>
    <w:rsid w:val="55774994"/>
    <w:rsid w:val="55EC35D4"/>
    <w:rsid w:val="56B51C18"/>
    <w:rsid w:val="56F52014"/>
    <w:rsid w:val="571E769A"/>
    <w:rsid w:val="57421F9C"/>
    <w:rsid w:val="579E2C52"/>
    <w:rsid w:val="580B5F93"/>
    <w:rsid w:val="585B234B"/>
    <w:rsid w:val="58660B1F"/>
    <w:rsid w:val="58F5279F"/>
    <w:rsid w:val="594A3F21"/>
    <w:rsid w:val="59BE1042"/>
    <w:rsid w:val="5A3572F7"/>
    <w:rsid w:val="5A6000EC"/>
    <w:rsid w:val="5C261656"/>
    <w:rsid w:val="5C394E4E"/>
    <w:rsid w:val="5C9B540C"/>
    <w:rsid w:val="5CB36BF9"/>
    <w:rsid w:val="5CD75CB0"/>
    <w:rsid w:val="5CEE5E83"/>
    <w:rsid w:val="5D1A6C78"/>
    <w:rsid w:val="5D4F6451"/>
    <w:rsid w:val="5D557395"/>
    <w:rsid w:val="5D5E4DB7"/>
    <w:rsid w:val="5DAC1BBA"/>
    <w:rsid w:val="5F2B2A77"/>
    <w:rsid w:val="5F6366B5"/>
    <w:rsid w:val="5FE377F5"/>
    <w:rsid w:val="60652FF7"/>
    <w:rsid w:val="61D75138"/>
    <w:rsid w:val="62233ED9"/>
    <w:rsid w:val="63357D8B"/>
    <w:rsid w:val="6353510B"/>
    <w:rsid w:val="642B52C7"/>
    <w:rsid w:val="64373C6C"/>
    <w:rsid w:val="649410BE"/>
    <w:rsid w:val="6518584B"/>
    <w:rsid w:val="65434531"/>
    <w:rsid w:val="654F3237"/>
    <w:rsid w:val="655820EC"/>
    <w:rsid w:val="65A921FF"/>
    <w:rsid w:val="65B412BC"/>
    <w:rsid w:val="661F5464"/>
    <w:rsid w:val="66CA526B"/>
    <w:rsid w:val="66D954AE"/>
    <w:rsid w:val="673D5A3D"/>
    <w:rsid w:val="67A1421E"/>
    <w:rsid w:val="69456E2B"/>
    <w:rsid w:val="69900BBF"/>
    <w:rsid w:val="6A6257BB"/>
    <w:rsid w:val="6A710359"/>
    <w:rsid w:val="6B0A20DA"/>
    <w:rsid w:val="6B7C2964"/>
    <w:rsid w:val="6B802775"/>
    <w:rsid w:val="6B9419A4"/>
    <w:rsid w:val="6BBF5037"/>
    <w:rsid w:val="6C271881"/>
    <w:rsid w:val="6C303DC2"/>
    <w:rsid w:val="6C7D4B2E"/>
    <w:rsid w:val="6CBC5656"/>
    <w:rsid w:val="6CFC1EF7"/>
    <w:rsid w:val="6D48513C"/>
    <w:rsid w:val="6D7970A3"/>
    <w:rsid w:val="6DA87988"/>
    <w:rsid w:val="6E216668"/>
    <w:rsid w:val="6EBA7973"/>
    <w:rsid w:val="6EBD7464"/>
    <w:rsid w:val="6EE60768"/>
    <w:rsid w:val="6F2B31C9"/>
    <w:rsid w:val="6F6E5DAA"/>
    <w:rsid w:val="6F800F2B"/>
    <w:rsid w:val="6FDE58E3"/>
    <w:rsid w:val="7020414E"/>
    <w:rsid w:val="71066EA0"/>
    <w:rsid w:val="71121CE9"/>
    <w:rsid w:val="71CF1988"/>
    <w:rsid w:val="71F66F14"/>
    <w:rsid w:val="72062ED0"/>
    <w:rsid w:val="720A6FB7"/>
    <w:rsid w:val="72203F91"/>
    <w:rsid w:val="722B795D"/>
    <w:rsid w:val="729A01E8"/>
    <w:rsid w:val="72BE189F"/>
    <w:rsid w:val="72FD2525"/>
    <w:rsid w:val="737A1DC7"/>
    <w:rsid w:val="74406B6D"/>
    <w:rsid w:val="745772FC"/>
    <w:rsid w:val="74956EB9"/>
    <w:rsid w:val="74EB4D2A"/>
    <w:rsid w:val="74FA6600"/>
    <w:rsid w:val="750D133A"/>
    <w:rsid w:val="75103B1A"/>
    <w:rsid w:val="75874327"/>
    <w:rsid w:val="76544B51"/>
    <w:rsid w:val="76A50F09"/>
    <w:rsid w:val="77597EB6"/>
    <w:rsid w:val="77B238DE"/>
    <w:rsid w:val="78CF4963"/>
    <w:rsid w:val="79336F70"/>
    <w:rsid w:val="797572B9"/>
    <w:rsid w:val="7B8437E3"/>
    <w:rsid w:val="7B95154C"/>
    <w:rsid w:val="7BF32717"/>
    <w:rsid w:val="7D133070"/>
    <w:rsid w:val="7D1A770C"/>
    <w:rsid w:val="7E0E66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4"/>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kern w:val="0"/>
      <w:sz w:val="24"/>
    </w:rPr>
  </w:style>
  <w:style w:type="paragraph" w:styleId="3">
    <w:name w:val="Body Text"/>
    <w:basedOn w:val="1"/>
    <w:next w:val="1"/>
    <w:qFormat/>
    <w:uiPriority w:val="0"/>
    <w:rPr>
      <w:rFonts w:ascii="仿宋_GB2312" w:eastAsia="仿宋_GB2312"/>
      <w:kern w:val="0"/>
      <w:sz w:val="24"/>
      <w:szCs w:val="20"/>
    </w:rPr>
  </w:style>
  <w:style w:type="paragraph" w:styleId="4">
    <w:name w:val="Body Text Indent"/>
    <w:basedOn w:val="1"/>
    <w:unhideWhenUsed/>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qFormat/>
    <w:uiPriority w:val="0"/>
    <w:pPr>
      <w:ind w:left="765" w:leftChars="0" w:firstLine="200" w:firstLineChars="200"/>
    </w:pPr>
    <w:rPr>
      <w:rFonts w:ascii="仿宋_GB2312" w:eastAsia="仿宋_GB2312"/>
      <w:kern w:val="0"/>
      <w:sz w:val="28"/>
      <w:szCs w:val="2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Default"/>
    <w:autoRedefine/>
    <w:qFormat/>
    <w:uiPriority w:val="0"/>
    <w:pPr>
      <w:widowControl w:val="0"/>
      <w:autoSpaceDE w:val="0"/>
      <w:autoSpaceDN w:val="0"/>
      <w:adjustRightInd w:val="0"/>
    </w:pPr>
    <w:rPr>
      <w:rFonts w:ascii="New Baskerville" w:hAnsi="Times New Roman" w:eastAsia="New Baskerville" w:cs="New Baskerville"/>
      <w:color w:val="000000"/>
      <w:sz w:val="24"/>
      <w:szCs w:val="24"/>
      <w:lang w:val="en-US" w:eastAsia="zh-CN" w:bidi="ar-SA"/>
    </w:rPr>
  </w:style>
  <w:style w:type="paragraph" w:customStyle="1" w:styleId="13">
    <w:name w:val="标题 21"/>
    <w:basedOn w:val="1"/>
    <w:qFormat/>
    <w:uiPriority w:val="0"/>
    <w:pPr>
      <w:keepNext/>
      <w:keepLines/>
      <w:spacing w:before="260" w:after="260" w:line="416" w:lineRule="auto"/>
      <w:outlineLvl w:val="1"/>
    </w:pPr>
    <w:rPr>
      <w:rFonts w:ascii="Arial" w:hAnsi="Arial" w:eastAsia="黑体"/>
      <w:b/>
      <w:bCs/>
      <w:kern w:val="0"/>
      <w:sz w:val="32"/>
      <w:szCs w:val="32"/>
    </w:rPr>
  </w:style>
  <w:style w:type="character" w:customStyle="1" w:styleId="14">
    <w:name w:val="默认段落字体1"/>
    <w:link w:val="1"/>
    <w:semiHidden/>
    <w:qFormat/>
    <w:uiPriority w:val="0"/>
  </w:style>
  <w:style w:type="table" w:customStyle="1" w:styleId="15">
    <w:name w:val="普通表格1"/>
    <w:semiHidden/>
    <w:qFormat/>
    <w:uiPriority w:val="0"/>
  </w:style>
  <w:style w:type="paragraph" w:customStyle="1" w:styleId="16">
    <w:name w:val="正文文本1"/>
    <w:basedOn w:val="1"/>
    <w:qFormat/>
    <w:uiPriority w:val="0"/>
    <w:rPr>
      <w:rFonts w:ascii="仿宋_GB2312" w:eastAsia="仿宋_GB2312"/>
      <w:kern w:val="0"/>
      <w:sz w:val="24"/>
      <w:szCs w:val="20"/>
    </w:rPr>
  </w:style>
  <w:style w:type="paragraph" w:customStyle="1" w:styleId="17">
    <w:name w:val="正文文本缩进1"/>
    <w:basedOn w:val="1"/>
    <w:qFormat/>
    <w:uiPriority w:val="0"/>
    <w:pPr>
      <w:ind w:left="765"/>
    </w:pPr>
    <w:rPr>
      <w:rFonts w:ascii="仿宋_GB2312" w:eastAsia="仿宋_GB2312"/>
      <w:kern w:val="0"/>
      <w:sz w:val="28"/>
      <w:szCs w:val="20"/>
    </w:rPr>
  </w:style>
  <w:style w:type="paragraph" w:customStyle="1" w:styleId="18">
    <w:name w:val="正文首行缩进 21"/>
    <w:basedOn w:val="17"/>
    <w:qFormat/>
    <w:uiPriority w:val="0"/>
    <w:pPr>
      <w:spacing w:after="120"/>
      <w:ind w:firstLine="200" w:firstLineChars="200"/>
    </w:pPr>
  </w:style>
  <w:style w:type="table" w:customStyle="1" w:styleId="19">
    <w:name w:val="网格型1"/>
    <w:basedOn w:val="8"/>
    <w:autoRedefine/>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3177</Words>
  <Characters>3589</Characters>
  <Lines>0</Lines>
  <Paragraphs>0</Paragraphs>
  <TotalTime>1</TotalTime>
  <ScaleCrop>false</ScaleCrop>
  <LinksUpToDate>false</LinksUpToDate>
  <CharactersWithSpaces>3754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2024-06-24T07:18:00Z</dcterms:created>
  <dc:creator>快乐的小花花￡*</dc:creator>
  <cp:lastModifiedBy>快乐的小花花￡*</cp:lastModifiedBy>
  <cp:lastPrinted>2025-03-24T08:04:00Z</cp:lastPrinted>
  <dcterms:modified xsi:type="dcterms:W3CDTF">2025-06-12T05:58:53Z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2CFE746D1122480FB4A5EAEF7ECB14D9_13</vt:lpwstr>
  </property>
  <property fmtid="{D5CDD505-2E9C-101B-9397-08002B2CF9AE}" pid="4" name="KSOTemplateDocerSaveRecord">
    <vt:lpwstr>eyJoZGlkIjoiNzdmNzNhZTI0YTI3NTU0OTcyMDEwNzgxOTBiYjRkM2QiLCJ1c2VySWQiOiIzMDQyOTkyNjQifQ==</vt:lpwstr>
  </property>
</Properties>
</file>