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01EF8">
      <w:pPr>
        <w:pStyle w:val="6"/>
        <w:widowControl/>
        <w:shd w:val="clear" w:color="auto" w:fill="FFFFFF"/>
        <w:spacing w:beforeAutospacing="0" w:afterAutospacing="0" w:line="430" w:lineRule="exact"/>
        <w:jc w:val="center"/>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启东市合作镇五星村宜居宜业和美乡村建设工程--路灯提档升级项目</w:t>
      </w:r>
    </w:p>
    <w:p w14:paraId="6A9CBB37">
      <w:pPr>
        <w:pStyle w:val="6"/>
        <w:widowControl/>
        <w:shd w:val="clear" w:color="auto" w:fill="FFFFFF"/>
        <w:spacing w:beforeAutospacing="0" w:afterAutospacing="0" w:line="430" w:lineRule="exact"/>
        <w:jc w:val="center"/>
        <w:rPr>
          <w:rFonts w:ascii="微软雅黑" w:hAnsi="微软雅黑" w:eastAsia="微软雅黑" w:cs="微软雅黑"/>
          <w:b/>
          <w:bCs/>
          <w:color w:val="333333"/>
          <w:shd w:val="clear" w:color="auto" w:fill="FFFFFF"/>
        </w:rPr>
      </w:pPr>
      <w:r>
        <w:rPr>
          <w:rFonts w:hint="eastAsia" w:ascii="宋体" w:hAnsi="宋体" w:eastAsia="宋体" w:cs="宋体"/>
          <w:b/>
          <w:bCs/>
          <w:color w:val="333333"/>
          <w:sz w:val="28"/>
          <w:szCs w:val="28"/>
          <w:shd w:val="clear" w:color="auto" w:fill="FFFFFF"/>
        </w:rPr>
        <w:t>市场询价公告（三次）</w:t>
      </w:r>
    </w:p>
    <w:p w14:paraId="250602D8">
      <w:pPr>
        <w:pStyle w:val="6"/>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启东市合作镇五星村股份经济合作社的启东市合作镇五星村宜居宜业和美乡村建设工程--路灯提档升级项目即将实施，现就本项目进行市场询价调研。</w:t>
      </w:r>
    </w:p>
    <w:p w14:paraId="34B81D96">
      <w:pPr>
        <w:pStyle w:val="6"/>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一、采购内容及要求</w:t>
      </w:r>
    </w:p>
    <w:p w14:paraId="3E4CD59F">
      <w:pPr>
        <w:pStyle w:val="6"/>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详见附件《启东市合作镇五星村宜居宜业和美乡村建设工程--路灯提档升级项目市场询价报价单》。</w:t>
      </w:r>
    </w:p>
    <w:p w14:paraId="2F7F35E4">
      <w:pPr>
        <w:pStyle w:val="6"/>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二、询价约定事项：</w:t>
      </w:r>
    </w:p>
    <w:p w14:paraId="69DD3FDC">
      <w:pPr>
        <w:pStyle w:val="6"/>
        <w:widowControl/>
        <w:shd w:val="clear" w:color="auto" w:fill="FFFFFF"/>
        <w:spacing w:beforeAutospacing="0" w:afterAutospacing="0" w:line="430" w:lineRule="exact"/>
        <w:ind w:firstLine="420"/>
        <w:rPr>
          <w:rFonts w:ascii="宋体" w:hAnsi="宋体" w:eastAsia="宋体" w:cs="宋体"/>
          <w:color w:val="333333"/>
        </w:rPr>
      </w:pPr>
      <w:r>
        <w:rPr>
          <w:rFonts w:hint="eastAsia" w:ascii="宋体" w:hAnsi="宋体" w:eastAsia="宋体" w:cs="宋体"/>
          <w:color w:val="333333"/>
          <w:shd w:val="clear" w:color="auto" w:fill="FFFFFF"/>
        </w:rPr>
        <w:t>1.市场询价报价单（附件）盖章件于2025年08月2</w:t>
      </w:r>
      <w:r>
        <w:rPr>
          <w:rFonts w:hint="eastAsia" w:ascii="宋体" w:hAnsi="宋体" w:eastAsia="宋体" w:cs="宋体"/>
          <w:color w:val="333333"/>
          <w:shd w:val="clear" w:color="auto" w:fill="FFFFFF"/>
          <w:lang w:val="en-US" w:eastAsia="zh-CN"/>
        </w:rPr>
        <w:t>6</w:t>
      </w:r>
      <w:r>
        <w:rPr>
          <w:rFonts w:hint="eastAsia" w:ascii="宋体" w:hAnsi="宋体" w:eastAsia="宋体" w:cs="宋体"/>
          <w:color w:val="333333"/>
          <w:shd w:val="clear" w:color="auto" w:fill="FFFFFF"/>
        </w:rPr>
        <w:t>日17:30前，送或寄（以邮戳为准）至代理单位江苏本源工程项目管理有限公司，或以PDF格式文件通过电子邮件方式发送到邮箱740885089@qq.com，联系人：施女士，联系电话：0513-83351266。</w:t>
      </w:r>
    </w:p>
    <w:p w14:paraId="208F019C">
      <w:pPr>
        <w:pStyle w:val="6"/>
        <w:widowControl/>
        <w:shd w:val="clear" w:color="auto" w:fill="FFFFFF"/>
        <w:spacing w:beforeAutospacing="0" w:afterAutospacing="0" w:line="43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2.报价费用说明：报价采用全费用综合单价报价方式，全费用综合单价包括但不限于全部货物采购、制作、安装、调试、使用培训、设备设施、相关附件、辅材、人工、配件、装卸、货物运输、搬运（含二次搬运）、登高、仓储、材料费、工具、劳务费、检测、质保、售后服务、验收、保险、税金、规费、样品费等所有与本项目相关的费用，以及根据国家、省、市、项目所在地政府及相关部门的规定缴纳有关费用。请各供应商在报价时充分考虑各种因素，在合同实施期间，合同综合单价（全费用综合单价）不因市场价格波动和各种风险因素的发生而进行调整,其中太阳能路灯按照实际安装的数量按实结算，由此产生的相关风险由成交供应商自行承担。除双方另有约定外，采购单位无须向成交供应商支付其他任何费用。</w:t>
      </w:r>
    </w:p>
    <w:p w14:paraId="161AECEA">
      <w:pPr>
        <w:pStyle w:val="6"/>
        <w:widowControl/>
        <w:shd w:val="clear" w:color="auto" w:fill="FFFFFF"/>
        <w:spacing w:beforeAutospacing="0" w:afterAutospacing="0" w:line="43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3.报价单位须提供营业执照及报价单。</w:t>
      </w:r>
    </w:p>
    <w:p w14:paraId="1DA3599F">
      <w:pPr>
        <w:pStyle w:val="6"/>
        <w:widowControl/>
        <w:shd w:val="clear" w:color="auto" w:fill="FFFFFF"/>
        <w:spacing w:beforeAutospacing="0" w:afterAutospacing="0" w:line="43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4.拟定支付方式及期限：</w:t>
      </w:r>
    </w:p>
    <w:p w14:paraId="0E6A044C">
      <w:pPr>
        <w:pStyle w:val="6"/>
        <w:widowControl/>
        <w:shd w:val="clear" w:color="auto" w:fill="FFFFFF"/>
        <w:spacing w:beforeAutospacing="0" w:afterAutospacing="0" w:line="430" w:lineRule="exact"/>
        <w:ind w:firstLine="420"/>
        <w:rPr>
          <w:rFonts w:ascii="宋体" w:hAnsi="宋体" w:eastAsia="宋体" w:cs="宋体"/>
          <w:color w:val="333333"/>
          <w:shd w:val="clear" w:color="auto" w:fill="FFFFFF"/>
          <w:lang w:val="zh-CN"/>
        </w:rPr>
      </w:pPr>
      <w:r>
        <w:rPr>
          <w:rFonts w:hint="eastAsia" w:ascii="宋体" w:hAnsi="宋体" w:eastAsia="宋体" w:cs="宋体"/>
          <w:color w:val="333333"/>
          <w:shd w:val="clear" w:color="auto" w:fill="FFFFFF"/>
          <w:lang w:val="zh-CN"/>
        </w:rPr>
        <w:t>成交供应商供货、安装、调试完毕并经验收合格后，付至合同价的70%，验收合格满一年后付至项目审定价的90%，验收合格二年后付至项目审定价的97%，余款于验收合格满三年后且经采购单位确认无质量问题后一次性付清。</w:t>
      </w:r>
    </w:p>
    <w:p w14:paraId="6FE77161">
      <w:pPr>
        <w:pStyle w:val="6"/>
        <w:widowControl/>
        <w:shd w:val="clear" w:color="auto" w:fill="FFFFFF"/>
        <w:spacing w:beforeAutospacing="0" w:afterAutospacing="0" w:line="430" w:lineRule="exact"/>
        <w:ind w:firstLine="420"/>
        <w:rPr>
          <w:rFonts w:ascii="宋体" w:hAnsi="宋体" w:eastAsia="宋体" w:cs="宋体"/>
          <w:color w:val="333333"/>
          <w:shd w:val="clear" w:color="auto" w:fill="FFFFFF"/>
        </w:rPr>
      </w:pPr>
      <w:r>
        <w:rPr>
          <w:rFonts w:hint="eastAsia" w:ascii="宋体" w:hAnsi="宋体" w:eastAsia="宋体" w:cs="宋体"/>
          <w:color w:val="333333"/>
          <w:shd w:val="clear" w:color="auto" w:fill="FFFFFF"/>
        </w:rPr>
        <w:t>5.其他：（1）请报价单位认真核算、如实报价，如发现虚假报价的，该单位今后将记入采购单位黑名单；（2）本次报价仅作为市场调研用，因此价格仅供参考；（3）本次调研询价不接收质疑函，只接收对本项目的建议。</w:t>
      </w:r>
      <w:bookmarkStart w:id="0" w:name="_GoBack"/>
      <w:bookmarkEnd w:id="0"/>
    </w:p>
    <w:p w14:paraId="5C1BE12F">
      <w:pPr>
        <w:pStyle w:val="6"/>
        <w:widowControl/>
        <w:shd w:val="clear" w:color="auto" w:fill="FFFFFF"/>
        <w:spacing w:beforeAutospacing="0" w:afterAutospacing="0" w:line="430" w:lineRule="exact"/>
        <w:ind w:firstLine="3120" w:firstLineChars="1300"/>
        <w:rPr>
          <w:rFonts w:ascii="宋体" w:hAnsi="宋体" w:eastAsia="宋体" w:cs="宋体"/>
          <w:color w:val="333333"/>
          <w:shd w:val="clear" w:color="auto" w:fill="FFFFFF"/>
        </w:rPr>
      </w:pPr>
    </w:p>
    <w:p w14:paraId="36F35FCA">
      <w:pPr>
        <w:pStyle w:val="6"/>
        <w:widowControl/>
        <w:shd w:val="clear" w:color="auto" w:fill="FFFFFF"/>
        <w:spacing w:beforeAutospacing="0" w:afterAutospacing="0" w:line="430" w:lineRule="exact"/>
        <w:ind w:firstLine="4560" w:firstLineChars="1900"/>
        <w:rPr>
          <w:rFonts w:ascii="宋体" w:hAnsi="宋体" w:eastAsia="宋体" w:cs="宋体"/>
          <w:color w:val="333333"/>
          <w:shd w:val="clear" w:color="auto" w:fill="FFFFFF"/>
        </w:rPr>
      </w:pPr>
      <w:r>
        <w:rPr>
          <w:rFonts w:hint="eastAsia" w:ascii="宋体" w:hAnsi="宋体" w:eastAsia="宋体" w:cs="宋体"/>
          <w:color w:val="333333"/>
          <w:shd w:val="clear" w:color="auto" w:fill="FFFFFF"/>
        </w:rPr>
        <w:t>启东市合作镇五星村股份经济合作社</w:t>
      </w:r>
    </w:p>
    <w:p w14:paraId="795567E9">
      <w:pPr>
        <w:pStyle w:val="6"/>
        <w:widowControl/>
        <w:shd w:val="clear" w:color="auto" w:fill="FFFFFF"/>
        <w:spacing w:beforeAutospacing="0" w:afterAutospacing="0" w:line="430" w:lineRule="exact"/>
        <w:ind w:left="3780" w:leftChars="1800" w:firstLine="1920" w:firstLineChars="800"/>
        <w:rPr>
          <w:rFonts w:ascii="宋体" w:hAnsi="宋体" w:eastAsia="宋体" w:cs="宋体"/>
          <w:color w:val="333333"/>
          <w:shd w:val="clear" w:color="auto" w:fill="FFFFFF"/>
        </w:rPr>
      </w:pPr>
      <w:r>
        <w:rPr>
          <w:rFonts w:hint="eastAsia" w:ascii="宋体" w:hAnsi="宋体" w:eastAsia="宋体" w:cs="宋体"/>
          <w:color w:val="333333"/>
          <w:shd w:val="clear" w:color="auto" w:fill="FFFFFF"/>
        </w:rPr>
        <w:t>2025年08月2</w:t>
      </w:r>
      <w:r>
        <w:rPr>
          <w:rFonts w:hint="eastAsia" w:ascii="宋体" w:hAnsi="宋体" w:eastAsia="宋体" w:cs="宋体"/>
          <w:color w:val="333333"/>
          <w:shd w:val="clear" w:color="auto" w:fill="FFFFFF"/>
          <w:lang w:val="en-US" w:eastAsia="zh-CN"/>
        </w:rPr>
        <w:t>1</w:t>
      </w:r>
      <w:r>
        <w:rPr>
          <w:rFonts w:hint="eastAsia" w:ascii="宋体" w:hAnsi="宋体" w:eastAsia="宋体" w:cs="宋体"/>
          <w:color w:val="333333"/>
          <w:shd w:val="clear" w:color="auto" w:fill="FFFFFF"/>
        </w:rPr>
        <w:t>日</w:t>
      </w:r>
    </w:p>
    <w:p w14:paraId="311AF2C2">
      <w:pPr>
        <w:spacing w:line="450" w:lineRule="exact"/>
        <w:rPr>
          <w:rFonts w:ascii="宋体" w:hAnsi="宋体" w:eastAsia="宋体" w:cs="宋体"/>
          <w:sz w:val="24"/>
        </w:rPr>
      </w:pPr>
    </w:p>
    <w:p w14:paraId="11853DD2">
      <w:pPr>
        <w:spacing w:line="450" w:lineRule="exact"/>
        <w:rPr>
          <w:rFonts w:ascii="宋体" w:hAnsi="宋体" w:eastAsia="宋体" w:cs="宋体"/>
        </w:rPr>
      </w:pPr>
    </w:p>
    <w:p w14:paraId="716393A6">
      <w:pPr>
        <w:spacing w:line="450" w:lineRule="exact"/>
        <w:rPr>
          <w:rFonts w:ascii="宋体" w:hAnsi="宋体" w:eastAsia="宋体" w:cs="宋体"/>
        </w:rPr>
      </w:pPr>
      <w:r>
        <w:rPr>
          <w:rFonts w:hint="eastAsia" w:ascii="宋体" w:hAnsi="宋体" w:eastAsia="宋体" w:cs="宋体"/>
        </w:rPr>
        <w:t>附件一：</w:t>
      </w:r>
    </w:p>
    <w:p w14:paraId="7E0A80CE">
      <w:pPr>
        <w:spacing w:line="400" w:lineRule="exact"/>
        <w:jc w:val="center"/>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启东市合作镇五星村宜居宜业和美乡村建设工程--路灯提档升级项目</w:t>
      </w:r>
    </w:p>
    <w:p w14:paraId="41074635">
      <w:pPr>
        <w:spacing w:line="400" w:lineRule="exact"/>
        <w:jc w:val="center"/>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市场询价报价单</w:t>
      </w:r>
    </w:p>
    <w:tbl>
      <w:tblPr>
        <w:tblStyle w:val="9"/>
        <w:tblW w:w="55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67"/>
        <w:gridCol w:w="5575"/>
        <w:gridCol w:w="640"/>
        <w:gridCol w:w="643"/>
        <w:gridCol w:w="1081"/>
        <w:gridCol w:w="993"/>
        <w:gridCol w:w="1133"/>
      </w:tblGrid>
      <w:tr w14:paraId="3F54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2" w:type="pct"/>
            <w:vAlign w:val="center"/>
          </w:tcPr>
          <w:p w14:paraId="199175D3">
            <w:pPr>
              <w:jc w:val="center"/>
              <w:rPr>
                <w:rFonts w:ascii="宋体" w:hAnsi="宋体" w:cs="宋体"/>
                <w:sz w:val="24"/>
              </w:rPr>
            </w:pPr>
            <w:r>
              <w:rPr>
                <w:rFonts w:hint="eastAsia" w:ascii="宋体" w:hAnsi="宋体" w:cs="宋体"/>
                <w:sz w:val="24"/>
              </w:rPr>
              <w:t>序号</w:t>
            </w:r>
          </w:p>
        </w:tc>
        <w:tc>
          <w:tcPr>
            <w:tcW w:w="339" w:type="pct"/>
            <w:vAlign w:val="center"/>
          </w:tcPr>
          <w:p w14:paraId="0ACE0912">
            <w:pPr>
              <w:jc w:val="center"/>
              <w:rPr>
                <w:rFonts w:ascii="宋体" w:hAnsi="宋体" w:cs="宋体"/>
                <w:sz w:val="24"/>
              </w:rPr>
            </w:pPr>
            <w:r>
              <w:rPr>
                <w:rFonts w:hint="eastAsia" w:ascii="宋体" w:hAnsi="宋体" w:cs="宋体"/>
                <w:sz w:val="24"/>
              </w:rPr>
              <w:t>货物</w:t>
            </w:r>
          </w:p>
          <w:p w14:paraId="3DE1A95F">
            <w:pPr>
              <w:jc w:val="center"/>
              <w:rPr>
                <w:rFonts w:ascii="宋体" w:hAnsi="宋体" w:cs="宋体"/>
                <w:sz w:val="24"/>
              </w:rPr>
            </w:pPr>
            <w:r>
              <w:rPr>
                <w:rFonts w:hint="eastAsia" w:ascii="宋体" w:hAnsi="宋体" w:cs="宋体"/>
                <w:sz w:val="24"/>
              </w:rPr>
              <w:t>名称</w:t>
            </w:r>
          </w:p>
        </w:tc>
        <w:tc>
          <w:tcPr>
            <w:tcW w:w="2464" w:type="pct"/>
            <w:vAlign w:val="center"/>
          </w:tcPr>
          <w:p w14:paraId="25E06AA2">
            <w:pPr>
              <w:jc w:val="center"/>
              <w:rPr>
                <w:rFonts w:ascii="宋体" w:hAnsi="宋体" w:cs="宋体"/>
                <w:sz w:val="24"/>
              </w:rPr>
            </w:pPr>
            <w:r>
              <w:rPr>
                <w:rFonts w:hint="eastAsia" w:ascii="宋体" w:hAnsi="宋体" w:cs="宋体"/>
                <w:sz w:val="24"/>
              </w:rPr>
              <w:t>参数</w:t>
            </w:r>
          </w:p>
        </w:tc>
        <w:tc>
          <w:tcPr>
            <w:tcW w:w="283" w:type="pct"/>
            <w:vAlign w:val="center"/>
          </w:tcPr>
          <w:p w14:paraId="4FE844A4">
            <w:pPr>
              <w:jc w:val="center"/>
              <w:rPr>
                <w:rFonts w:ascii="宋体" w:hAnsi="宋体" w:cs="宋体"/>
                <w:sz w:val="24"/>
              </w:rPr>
            </w:pPr>
            <w:r>
              <w:rPr>
                <w:rFonts w:hint="eastAsia" w:ascii="宋体" w:hAnsi="宋体" w:cs="宋体"/>
                <w:sz w:val="24"/>
              </w:rPr>
              <w:t>单位</w:t>
            </w:r>
          </w:p>
        </w:tc>
        <w:tc>
          <w:tcPr>
            <w:tcW w:w="284" w:type="pct"/>
            <w:vAlign w:val="center"/>
          </w:tcPr>
          <w:p w14:paraId="20DA5311">
            <w:pPr>
              <w:jc w:val="center"/>
              <w:rPr>
                <w:rFonts w:ascii="宋体" w:hAnsi="宋体" w:cs="宋体"/>
                <w:sz w:val="24"/>
              </w:rPr>
            </w:pPr>
            <w:r>
              <w:rPr>
                <w:rFonts w:hint="eastAsia" w:ascii="宋体" w:hAnsi="宋体" w:cs="宋体"/>
                <w:sz w:val="24"/>
              </w:rPr>
              <w:t>数量</w:t>
            </w:r>
          </w:p>
        </w:tc>
        <w:tc>
          <w:tcPr>
            <w:tcW w:w="478" w:type="pct"/>
          </w:tcPr>
          <w:p w14:paraId="07027D52">
            <w:pPr>
              <w:jc w:val="center"/>
              <w:rPr>
                <w:rFonts w:ascii="宋体" w:hAnsi="宋体" w:cs="宋体"/>
                <w:sz w:val="24"/>
              </w:rPr>
            </w:pPr>
            <w:r>
              <w:rPr>
                <w:rFonts w:hint="eastAsia" w:ascii="宋体" w:hAnsi="宋体" w:cs="宋体"/>
                <w:sz w:val="24"/>
              </w:rPr>
              <w:t>单价（元）</w:t>
            </w:r>
          </w:p>
        </w:tc>
        <w:tc>
          <w:tcPr>
            <w:tcW w:w="439" w:type="pct"/>
          </w:tcPr>
          <w:p w14:paraId="309C9888">
            <w:pPr>
              <w:jc w:val="center"/>
              <w:rPr>
                <w:rFonts w:ascii="宋体" w:hAnsi="宋体" w:cs="宋体"/>
                <w:sz w:val="24"/>
              </w:rPr>
            </w:pPr>
            <w:r>
              <w:rPr>
                <w:rFonts w:hint="eastAsia" w:ascii="宋体" w:hAnsi="宋体" w:cs="宋体"/>
                <w:sz w:val="24"/>
              </w:rPr>
              <w:t>总价（元）</w:t>
            </w:r>
          </w:p>
        </w:tc>
        <w:tc>
          <w:tcPr>
            <w:tcW w:w="501" w:type="pct"/>
            <w:vAlign w:val="center"/>
          </w:tcPr>
          <w:p w14:paraId="73103E45">
            <w:pPr>
              <w:jc w:val="center"/>
              <w:rPr>
                <w:rFonts w:ascii="宋体" w:hAnsi="宋体" w:cs="宋体"/>
                <w:sz w:val="24"/>
              </w:rPr>
            </w:pPr>
            <w:r>
              <w:rPr>
                <w:rFonts w:hint="eastAsia" w:ascii="宋体" w:hAnsi="宋体" w:cs="宋体"/>
                <w:sz w:val="24"/>
              </w:rPr>
              <w:t>参考图片</w:t>
            </w:r>
          </w:p>
        </w:tc>
      </w:tr>
      <w:tr w14:paraId="2C68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2" w:type="pct"/>
            <w:vAlign w:val="center"/>
          </w:tcPr>
          <w:p w14:paraId="513987C5">
            <w:pPr>
              <w:jc w:val="center"/>
              <w:rPr>
                <w:rFonts w:ascii="宋体" w:hAnsi="宋体" w:cs="宋体"/>
                <w:sz w:val="24"/>
              </w:rPr>
            </w:pPr>
            <w:r>
              <w:rPr>
                <w:rFonts w:hint="eastAsia" w:ascii="宋体" w:hAnsi="宋体" w:cs="宋体"/>
                <w:sz w:val="24"/>
              </w:rPr>
              <w:t>1</w:t>
            </w:r>
          </w:p>
        </w:tc>
        <w:tc>
          <w:tcPr>
            <w:tcW w:w="339" w:type="pct"/>
            <w:vAlign w:val="center"/>
          </w:tcPr>
          <w:p w14:paraId="760CAE04">
            <w:pPr>
              <w:widowControl/>
              <w:spacing w:line="300" w:lineRule="exact"/>
              <w:jc w:val="center"/>
              <w:rPr>
                <w:rFonts w:ascii="宋体" w:hAnsi="宋体"/>
                <w:b/>
                <w:sz w:val="24"/>
              </w:rPr>
            </w:pPr>
            <w:r>
              <w:rPr>
                <w:rFonts w:hint="eastAsia" w:ascii="宋体" w:hAnsi="宋体" w:eastAsia="宋体" w:cs="宋体"/>
                <w:color w:val="000000"/>
                <w:kern w:val="0"/>
                <w:sz w:val="24"/>
              </w:rPr>
              <w:t>拆除</w:t>
            </w:r>
          </w:p>
        </w:tc>
        <w:tc>
          <w:tcPr>
            <w:tcW w:w="2464" w:type="pct"/>
            <w:vAlign w:val="center"/>
          </w:tcPr>
          <w:p w14:paraId="1229ECA5">
            <w:pPr>
              <w:widowControl/>
              <w:spacing w:line="300" w:lineRule="exact"/>
              <w:jc w:val="left"/>
              <w:rPr>
                <w:rFonts w:ascii="宋体" w:hAnsi="宋体" w:eastAsia="宋体" w:cs="宋体"/>
                <w:color w:val="000000"/>
                <w:kern w:val="0"/>
                <w:sz w:val="24"/>
              </w:rPr>
            </w:pPr>
            <w:r>
              <w:rPr>
                <w:rFonts w:hint="eastAsia" w:ascii="宋体" w:hAnsi="宋体" w:eastAsia="宋体" w:cs="宋体"/>
                <w:color w:val="000000"/>
                <w:kern w:val="0"/>
                <w:sz w:val="24"/>
              </w:rPr>
              <w:t>1、原有路灯及配线等附件全部拆除（具体以采购单位要求为准）。</w:t>
            </w:r>
          </w:p>
          <w:p w14:paraId="47D59431">
            <w:pPr>
              <w:widowControl/>
              <w:spacing w:line="300" w:lineRule="exact"/>
              <w:jc w:val="left"/>
              <w:rPr>
                <w:rFonts w:ascii="宋体" w:hAnsi="宋体" w:eastAsia="宋体" w:cs="宋体"/>
                <w:color w:val="000000"/>
                <w:kern w:val="0"/>
                <w:sz w:val="24"/>
              </w:rPr>
            </w:pPr>
            <w:r>
              <w:rPr>
                <w:rFonts w:hint="eastAsia" w:ascii="宋体" w:hAnsi="宋体" w:eastAsia="宋体" w:cs="宋体"/>
                <w:color w:val="000000"/>
                <w:kern w:val="0"/>
                <w:sz w:val="24"/>
              </w:rPr>
              <w:t>2、拆除后按采购单位要求在指定位置堆放整齐。</w:t>
            </w:r>
          </w:p>
          <w:p w14:paraId="0C339011">
            <w:pPr>
              <w:widowControl/>
              <w:spacing w:line="300" w:lineRule="exact"/>
              <w:jc w:val="left"/>
              <w:rPr>
                <w:rFonts w:ascii="宋体" w:hAnsi="宋体"/>
                <w:b/>
                <w:sz w:val="24"/>
              </w:rPr>
            </w:pPr>
            <w:r>
              <w:rPr>
                <w:rFonts w:hint="eastAsia" w:ascii="宋体" w:hAnsi="宋体" w:eastAsia="宋体" w:cs="宋体"/>
                <w:color w:val="000000"/>
                <w:kern w:val="0"/>
                <w:sz w:val="24"/>
              </w:rPr>
              <w:t>3、拆除的灯及配线等附件全部归采购单位所有。</w:t>
            </w:r>
          </w:p>
        </w:tc>
        <w:tc>
          <w:tcPr>
            <w:tcW w:w="283" w:type="pct"/>
            <w:vAlign w:val="center"/>
          </w:tcPr>
          <w:p w14:paraId="41694436">
            <w:pPr>
              <w:jc w:val="center"/>
              <w:rPr>
                <w:rFonts w:ascii="宋体" w:hAnsi="宋体" w:cs="宋体"/>
                <w:sz w:val="24"/>
              </w:rPr>
            </w:pPr>
            <w:r>
              <w:rPr>
                <w:rFonts w:hint="eastAsia" w:ascii="宋体" w:hAnsi="宋体" w:cs="宋体"/>
                <w:sz w:val="24"/>
              </w:rPr>
              <w:t>项</w:t>
            </w:r>
          </w:p>
        </w:tc>
        <w:tc>
          <w:tcPr>
            <w:tcW w:w="284" w:type="pct"/>
            <w:vAlign w:val="center"/>
          </w:tcPr>
          <w:p w14:paraId="090F90B1">
            <w:pPr>
              <w:jc w:val="center"/>
              <w:rPr>
                <w:rFonts w:ascii="宋体" w:hAnsi="宋体" w:cs="宋体"/>
                <w:sz w:val="24"/>
              </w:rPr>
            </w:pPr>
            <w:r>
              <w:rPr>
                <w:rFonts w:hint="eastAsia" w:ascii="宋体" w:hAnsi="宋体" w:cs="宋体"/>
                <w:sz w:val="24"/>
              </w:rPr>
              <w:t>1</w:t>
            </w:r>
          </w:p>
        </w:tc>
        <w:tc>
          <w:tcPr>
            <w:tcW w:w="478" w:type="pct"/>
          </w:tcPr>
          <w:p w14:paraId="4A4B7260">
            <w:pPr>
              <w:jc w:val="center"/>
              <w:rPr>
                <w:rFonts w:ascii="宋体" w:hAnsi="宋体" w:cs="宋体"/>
                <w:sz w:val="24"/>
              </w:rPr>
            </w:pPr>
          </w:p>
        </w:tc>
        <w:tc>
          <w:tcPr>
            <w:tcW w:w="439" w:type="pct"/>
          </w:tcPr>
          <w:p w14:paraId="4406215F">
            <w:pPr>
              <w:jc w:val="center"/>
              <w:rPr>
                <w:rFonts w:ascii="宋体" w:hAnsi="宋体" w:cs="宋体"/>
                <w:sz w:val="24"/>
              </w:rPr>
            </w:pPr>
          </w:p>
        </w:tc>
        <w:tc>
          <w:tcPr>
            <w:tcW w:w="501" w:type="pct"/>
            <w:vAlign w:val="center"/>
          </w:tcPr>
          <w:p w14:paraId="5A2D58C1">
            <w:pPr>
              <w:jc w:val="center"/>
              <w:rPr>
                <w:rFonts w:ascii="宋体" w:hAnsi="宋体" w:cs="宋体"/>
                <w:sz w:val="24"/>
              </w:rPr>
            </w:pPr>
            <w:r>
              <w:rPr>
                <w:rFonts w:hint="eastAsia" w:ascii="宋体" w:hAnsi="宋体" w:cs="宋体"/>
                <w:sz w:val="24"/>
              </w:rPr>
              <w:t>/</w:t>
            </w:r>
          </w:p>
        </w:tc>
      </w:tr>
      <w:tr w14:paraId="2B3C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jc w:val="center"/>
        </w:trPr>
        <w:tc>
          <w:tcPr>
            <w:tcW w:w="212" w:type="pct"/>
            <w:vAlign w:val="center"/>
          </w:tcPr>
          <w:p w14:paraId="75EA3D93">
            <w:pPr>
              <w:jc w:val="center"/>
              <w:rPr>
                <w:rFonts w:ascii="宋体" w:hAnsi="宋体" w:cs="宋体"/>
                <w:sz w:val="24"/>
              </w:rPr>
            </w:pPr>
            <w:r>
              <w:rPr>
                <w:rFonts w:hint="eastAsia" w:ascii="宋体" w:hAnsi="宋体" w:cs="宋体"/>
                <w:sz w:val="24"/>
              </w:rPr>
              <w:t>2</w:t>
            </w:r>
          </w:p>
        </w:tc>
        <w:tc>
          <w:tcPr>
            <w:tcW w:w="339" w:type="pct"/>
            <w:vAlign w:val="center"/>
          </w:tcPr>
          <w:p w14:paraId="2611E7E8">
            <w:pPr>
              <w:jc w:val="center"/>
              <w:rPr>
                <w:rFonts w:ascii="宋体" w:hAnsi="宋体" w:cs="宋体"/>
                <w:sz w:val="24"/>
              </w:rPr>
            </w:pPr>
            <w:r>
              <w:rPr>
                <w:rFonts w:hint="eastAsia" w:ascii="宋体" w:hAnsi="宋体" w:cs="宋体"/>
                <w:sz w:val="24"/>
              </w:rPr>
              <w:t>太阳能路灯</w:t>
            </w:r>
            <w:r>
              <w:rPr>
                <w:rFonts w:hint="eastAsia" w:ascii="宋体" w:hAnsi="宋体" w:cs="宋体"/>
                <w:szCs w:val="21"/>
              </w:rPr>
              <w:t>（新立杆）</w:t>
            </w:r>
          </w:p>
        </w:tc>
        <w:tc>
          <w:tcPr>
            <w:tcW w:w="2464" w:type="pct"/>
            <w:vAlign w:val="center"/>
          </w:tcPr>
          <w:p w14:paraId="43D3D853">
            <w:pPr>
              <w:spacing w:line="300" w:lineRule="exact"/>
              <w:jc w:val="left"/>
              <w:rPr>
                <w:rFonts w:ascii="宋体" w:hAnsi="宋体" w:cs="宋体"/>
                <w:sz w:val="24"/>
              </w:rPr>
            </w:pPr>
            <w:r>
              <w:rPr>
                <w:rFonts w:hint="eastAsia" w:ascii="宋体" w:hAnsi="宋体" w:cs="宋体"/>
                <w:sz w:val="24"/>
              </w:rPr>
              <w:t>1、灯杆材质、规格：灯杆总高6米，灯杆热镀锌防腐处理后喷优质户外漆，灯杆材料Q235，主杆上口径60mm，下口径140mm，壁厚2.5mm，出臂1米。</w:t>
            </w:r>
          </w:p>
          <w:p w14:paraId="301F9EA6">
            <w:pPr>
              <w:spacing w:line="300" w:lineRule="exact"/>
              <w:jc w:val="left"/>
              <w:rPr>
                <w:rFonts w:ascii="宋体" w:hAnsi="宋体" w:cs="宋体"/>
                <w:sz w:val="24"/>
              </w:rPr>
            </w:pPr>
            <w:r>
              <w:rPr>
                <w:rFonts w:hint="eastAsia" w:ascii="宋体" w:hAnsi="宋体" w:cs="宋体"/>
                <w:sz w:val="24"/>
              </w:rPr>
              <w:t>2、★</w:t>
            </w:r>
            <w:r>
              <w:rPr>
                <w:rFonts w:hint="eastAsia" w:ascii="宋体" w:hAnsi="宋体" w:cs="宋体"/>
                <w:b/>
                <w:bCs/>
                <w:sz w:val="22"/>
                <w:szCs w:val="22"/>
              </w:rPr>
              <w:t>灯具</w:t>
            </w:r>
            <w:r>
              <w:rPr>
                <w:rFonts w:hint="eastAsia" w:ascii="宋体" w:hAnsi="宋体" w:cs="宋体"/>
                <w:b/>
                <w:bCs/>
                <w:sz w:val="24"/>
              </w:rPr>
              <w:t>：光源功率60W(±1W)，显色指</w:t>
            </w:r>
            <w:r>
              <w:rPr>
                <w:rFonts w:hint="eastAsia" w:ascii="宋体" w:hAnsi="宋体" w:cs="宋体"/>
                <w:b/>
                <w:bCs/>
                <w:sz w:val="24"/>
                <w:highlight w:val="yellow"/>
              </w:rPr>
              <w:t>数≥70，</w:t>
            </w:r>
            <w:r>
              <w:rPr>
                <w:rFonts w:hint="eastAsia" w:ascii="宋体" w:hAnsi="宋体" w:cs="宋体"/>
                <w:b/>
                <w:bCs/>
                <w:sz w:val="24"/>
              </w:rPr>
              <w:t>色</w:t>
            </w:r>
            <w:r>
              <w:rPr>
                <w:rFonts w:hint="eastAsia" w:ascii="宋体" w:hAnsi="宋体" w:cs="宋体"/>
                <w:b/>
                <w:bCs/>
                <w:sz w:val="24"/>
                <w:highlight w:val="yellow"/>
              </w:rPr>
              <w:t>温5900K-6600K，</w:t>
            </w:r>
            <w:r>
              <w:rPr>
                <w:rFonts w:hint="eastAsia" w:ascii="宋体" w:hAnsi="宋体" w:cs="宋体"/>
                <w:b/>
                <w:bCs/>
                <w:sz w:val="24"/>
              </w:rPr>
              <w:t>灯具尺寸520*205*95mm（±5mm）。防护等级IP≥65，</w:t>
            </w:r>
          </w:p>
          <w:p w14:paraId="0635273C">
            <w:pPr>
              <w:spacing w:line="300" w:lineRule="exact"/>
              <w:jc w:val="left"/>
              <w:rPr>
                <w:rFonts w:ascii="宋体" w:hAnsi="宋体" w:cs="宋体"/>
                <w:sz w:val="24"/>
              </w:rPr>
            </w:pPr>
            <w:r>
              <w:rPr>
                <w:rFonts w:hint="eastAsia" w:ascii="宋体" w:hAnsi="宋体" w:cs="宋体"/>
                <w:sz w:val="24"/>
              </w:rPr>
              <w:t>3、外壳采用全铝压铸、全密封构、外表光滑，灯具结构设计合理、强度高。平均寿命＞50000小时，光衰＜3%，性能稳定；</w:t>
            </w:r>
          </w:p>
          <w:p w14:paraId="4AF4073A">
            <w:pPr>
              <w:spacing w:line="300" w:lineRule="exact"/>
              <w:jc w:val="left"/>
              <w:rPr>
                <w:rFonts w:ascii="宋体" w:hAnsi="宋体" w:cs="宋体"/>
                <w:sz w:val="24"/>
              </w:rPr>
            </w:pPr>
            <w:r>
              <w:rPr>
                <w:rFonts w:hint="eastAsia" w:ascii="宋体" w:hAnsi="宋体" w:cs="宋体"/>
                <w:sz w:val="22"/>
                <w:szCs w:val="22"/>
              </w:rPr>
              <w:t>4、</w:t>
            </w:r>
            <w:r>
              <w:rPr>
                <w:rFonts w:hint="eastAsia" w:ascii="宋体" w:hAnsi="宋体" w:cs="宋体"/>
                <w:b/>
                <w:bCs/>
                <w:sz w:val="22"/>
                <w:szCs w:val="22"/>
              </w:rPr>
              <w:t>★</w:t>
            </w:r>
            <w:r>
              <w:rPr>
                <w:rFonts w:hint="eastAsia" w:ascii="宋体" w:hAnsi="宋体" w:cs="宋体"/>
                <w:b/>
                <w:bCs/>
                <w:sz w:val="24"/>
              </w:rPr>
              <w:t>太阳能光伏板：</w:t>
            </w:r>
            <w:r>
              <w:rPr>
                <w:rFonts w:hint="eastAsia" w:ascii="宋体" w:hAnsi="宋体" w:cs="宋体"/>
                <w:b/>
                <w:bCs/>
                <w:sz w:val="24"/>
                <w:highlight w:val="yellow"/>
              </w:rPr>
              <w:t>功率≥50W。</w:t>
            </w:r>
          </w:p>
          <w:p w14:paraId="48A0F9AB">
            <w:pPr>
              <w:spacing w:line="300" w:lineRule="exact"/>
              <w:jc w:val="left"/>
              <w:rPr>
                <w:rFonts w:ascii="宋体" w:hAnsi="宋体" w:cs="宋体"/>
                <w:sz w:val="24"/>
              </w:rPr>
            </w:pPr>
            <w:r>
              <w:rPr>
                <w:rFonts w:hint="eastAsia" w:ascii="宋体" w:hAnsi="宋体" w:cs="宋体"/>
                <w:sz w:val="24"/>
              </w:rPr>
              <w:t>多晶硅，转换率＞18%，4时段控制功能，可变功率，有过充过放及防反接功能，平均寿命≥10年；</w:t>
            </w:r>
          </w:p>
          <w:p w14:paraId="5CD3E9BA">
            <w:pPr>
              <w:spacing w:line="300" w:lineRule="exact"/>
              <w:jc w:val="left"/>
              <w:rPr>
                <w:rFonts w:ascii="宋体" w:hAnsi="宋体" w:cs="宋体"/>
                <w:b/>
                <w:bCs/>
                <w:sz w:val="24"/>
              </w:rPr>
            </w:pPr>
            <w:r>
              <w:rPr>
                <w:rFonts w:hint="eastAsia" w:ascii="宋体" w:hAnsi="宋体" w:cs="宋体"/>
                <w:sz w:val="24"/>
              </w:rPr>
              <w:t>5、</w:t>
            </w:r>
            <w:r>
              <w:rPr>
                <w:rFonts w:hint="eastAsia" w:ascii="宋体" w:hAnsi="宋体" w:cs="宋体"/>
                <w:b/>
                <w:bCs/>
                <w:sz w:val="24"/>
              </w:rPr>
              <w:t>★太阳能专用锂电池：额定容</w:t>
            </w:r>
            <w:r>
              <w:rPr>
                <w:rFonts w:hint="eastAsia" w:ascii="宋体" w:hAnsi="宋体" w:cs="宋体"/>
                <w:b/>
                <w:bCs/>
                <w:sz w:val="24"/>
                <w:highlight w:val="yellow"/>
              </w:rPr>
              <w:t>≥50AH</w:t>
            </w:r>
            <w:r>
              <w:rPr>
                <w:rFonts w:hint="eastAsia" w:ascii="宋体" w:hAnsi="宋体" w:cs="宋体"/>
                <w:b/>
                <w:bCs/>
                <w:sz w:val="24"/>
              </w:rPr>
              <w:t>。</w:t>
            </w:r>
          </w:p>
          <w:p w14:paraId="43BA91E8">
            <w:pPr>
              <w:spacing w:line="300" w:lineRule="exact"/>
              <w:jc w:val="left"/>
              <w:rPr>
                <w:rFonts w:ascii="宋体" w:hAnsi="宋体" w:cs="宋体"/>
                <w:sz w:val="24"/>
              </w:rPr>
            </w:pPr>
            <w:r>
              <w:rPr>
                <w:rFonts w:hint="eastAsia" w:ascii="宋体" w:hAnsi="宋体" w:cs="宋体"/>
                <w:sz w:val="24"/>
              </w:rPr>
              <w:t>灯头内置，寿命≥10年，亮灯时间12小时；</w:t>
            </w:r>
          </w:p>
          <w:p w14:paraId="76B62E2A">
            <w:pPr>
              <w:wordWrap w:val="0"/>
              <w:spacing w:line="300" w:lineRule="exact"/>
              <w:jc w:val="left"/>
              <w:rPr>
                <w:rFonts w:ascii="宋体" w:hAnsi="宋体" w:cs="宋体"/>
                <w:sz w:val="24"/>
              </w:rPr>
            </w:pPr>
            <w:r>
              <w:rPr>
                <w:rFonts w:hint="eastAsia" w:ascii="宋体" w:hAnsi="宋体" w:cs="宋体"/>
                <w:sz w:val="24"/>
              </w:rPr>
              <w:t>6.基础开挖：≥500*500*850mm，C30混凝土（含基础预埋件）（最终以灯具厂家尺寸为准），固定螺栓采用混凝土包封防腐处理。</w:t>
            </w:r>
          </w:p>
          <w:p w14:paraId="70DB894B">
            <w:pPr>
              <w:pStyle w:val="7"/>
              <w:spacing w:after="0" w:line="300" w:lineRule="exact"/>
              <w:ind w:firstLine="0" w:firstLineChars="0"/>
              <w:jc w:val="left"/>
            </w:pPr>
            <w:r>
              <w:rPr>
                <w:rFonts w:hint="eastAsia" w:ascii="宋体" w:hAnsi="宋体" w:cs="宋体"/>
                <w:b/>
                <w:bCs/>
                <w:sz w:val="24"/>
              </w:rPr>
              <w:t>上述带“★”为主要规格参数</w:t>
            </w:r>
          </w:p>
        </w:tc>
        <w:tc>
          <w:tcPr>
            <w:tcW w:w="283" w:type="pct"/>
            <w:vAlign w:val="center"/>
          </w:tcPr>
          <w:p w14:paraId="59EE02E8">
            <w:pPr>
              <w:jc w:val="center"/>
              <w:rPr>
                <w:rFonts w:ascii="宋体" w:hAnsi="宋体" w:cs="宋体"/>
                <w:sz w:val="24"/>
              </w:rPr>
            </w:pPr>
            <w:r>
              <w:rPr>
                <w:rFonts w:hint="eastAsia" w:ascii="宋体" w:hAnsi="宋体" w:cs="宋体"/>
                <w:sz w:val="24"/>
              </w:rPr>
              <w:t>盏</w:t>
            </w:r>
          </w:p>
        </w:tc>
        <w:tc>
          <w:tcPr>
            <w:tcW w:w="284" w:type="pct"/>
            <w:vAlign w:val="center"/>
          </w:tcPr>
          <w:p w14:paraId="4EFE7769">
            <w:pPr>
              <w:pStyle w:val="2"/>
              <w:jc w:val="center"/>
            </w:pPr>
            <w:r>
              <w:rPr>
                <w:rFonts w:hint="eastAsia" w:ascii="宋体" w:hAnsi="宋体" w:cs="宋体"/>
                <w:sz w:val="24"/>
                <w:szCs w:val="24"/>
              </w:rPr>
              <w:t>45</w:t>
            </w:r>
          </w:p>
        </w:tc>
        <w:tc>
          <w:tcPr>
            <w:tcW w:w="478" w:type="pct"/>
          </w:tcPr>
          <w:p w14:paraId="783AB16B">
            <w:pPr>
              <w:pStyle w:val="2"/>
              <w:jc w:val="center"/>
              <w:rPr>
                <w:rFonts w:ascii="宋体" w:hAnsi="宋体" w:cs="宋体"/>
                <w:sz w:val="24"/>
                <w:szCs w:val="24"/>
              </w:rPr>
            </w:pPr>
          </w:p>
        </w:tc>
        <w:tc>
          <w:tcPr>
            <w:tcW w:w="439" w:type="pct"/>
          </w:tcPr>
          <w:p w14:paraId="235F21A3">
            <w:pPr>
              <w:pStyle w:val="2"/>
              <w:jc w:val="center"/>
              <w:rPr>
                <w:rFonts w:ascii="宋体" w:hAnsi="宋体" w:cs="宋体"/>
                <w:sz w:val="24"/>
                <w:szCs w:val="24"/>
              </w:rPr>
            </w:pPr>
          </w:p>
        </w:tc>
        <w:tc>
          <w:tcPr>
            <w:tcW w:w="501" w:type="pct"/>
          </w:tcPr>
          <w:p w14:paraId="03BF3F0F">
            <w:pPr>
              <w:pStyle w:val="2"/>
              <w:jc w:val="center"/>
              <w:rPr>
                <w:rFonts w:ascii="宋体" w:hAnsi="宋体" w:cs="宋体"/>
                <w:sz w:val="24"/>
                <w:szCs w:val="24"/>
              </w:rPr>
            </w:pPr>
          </w:p>
          <w:p w14:paraId="3245D59E"/>
          <w:p w14:paraId="64D7DCB8"/>
          <w:p w14:paraId="538CD231"/>
          <w:p w14:paraId="17FA08A4"/>
          <w:p w14:paraId="51BB24EA">
            <w:r>
              <w:rPr>
                <w:rFonts w:hint="eastAsia" w:ascii="宋体" w:hAnsi="宋体" w:cs="宋体"/>
                <w:szCs w:val="21"/>
              </w:rPr>
              <w:drawing>
                <wp:inline distT="0" distB="0" distL="0" distR="0">
                  <wp:extent cx="599440" cy="1857375"/>
                  <wp:effectExtent l="19050" t="0" r="0" b="0"/>
                  <wp:docPr id="9" name="图片 2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图片2"/>
                          <pic:cNvPicPr>
                            <a:picLocks noChangeAspect="1" noChangeArrowheads="1"/>
                          </pic:cNvPicPr>
                        </pic:nvPicPr>
                        <pic:blipFill>
                          <a:blip r:embed="rId5" cstate="print"/>
                          <a:srcRect/>
                          <a:stretch>
                            <a:fillRect/>
                          </a:stretch>
                        </pic:blipFill>
                        <pic:spPr>
                          <a:xfrm>
                            <a:off x="0" y="0"/>
                            <a:ext cx="599625" cy="1857375"/>
                          </a:xfrm>
                          <a:prstGeom prst="rect">
                            <a:avLst/>
                          </a:prstGeom>
                          <a:noFill/>
                          <a:ln w="9525">
                            <a:noFill/>
                            <a:miter lim="800000"/>
                            <a:headEnd/>
                            <a:tailEnd/>
                          </a:ln>
                        </pic:spPr>
                      </pic:pic>
                    </a:graphicData>
                  </a:graphic>
                </wp:inline>
              </w:drawing>
            </w:r>
          </w:p>
          <w:p w14:paraId="44238466"/>
          <w:p w14:paraId="60BEFAB8"/>
          <w:p w14:paraId="3EC038A0"/>
          <w:p w14:paraId="66F7D4AA"/>
        </w:tc>
      </w:tr>
      <w:tr w14:paraId="0369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2" w:type="pct"/>
            <w:vAlign w:val="center"/>
          </w:tcPr>
          <w:p w14:paraId="17F17286">
            <w:pPr>
              <w:jc w:val="center"/>
              <w:rPr>
                <w:rFonts w:ascii="宋体" w:hAnsi="宋体" w:cs="宋体"/>
                <w:sz w:val="24"/>
              </w:rPr>
            </w:pPr>
            <w:r>
              <w:rPr>
                <w:rFonts w:hint="eastAsia" w:ascii="宋体" w:hAnsi="宋体" w:cs="宋体"/>
                <w:sz w:val="24"/>
              </w:rPr>
              <w:t>3</w:t>
            </w:r>
          </w:p>
        </w:tc>
        <w:tc>
          <w:tcPr>
            <w:tcW w:w="339" w:type="pct"/>
            <w:vAlign w:val="center"/>
          </w:tcPr>
          <w:p w14:paraId="683A6708">
            <w:pPr>
              <w:jc w:val="center"/>
              <w:rPr>
                <w:rFonts w:ascii="宋体" w:hAnsi="宋体" w:cs="宋体"/>
                <w:sz w:val="24"/>
              </w:rPr>
            </w:pPr>
            <w:r>
              <w:rPr>
                <w:rFonts w:hint="eastAsia" w:ascii="宋体" w:hAnsi="宋体" w:cs="宋体"/>
                <w:sz w:val="24"/>
              </w:rPr>
              <w:t>太阳能路灯（借杆）</w:t>
            </w:r>
          </w:p>
        </w:tc>
        <w:tc>
          <w:tcPr>
            <w:tcW w:w="2464" w:type="pct"/>
            <w:vAlign w:val="center"/>
          </w:tcPr>
          <w:p w14:paraId="07E36A88">
            <w:pPr>
              <w:jc w:val="left"/>
              <w:rPr>
                <w:rFonts w:ascii="宋体" w:hAnsi="宋体" w:cs="宋体"/>
                <w:sz w:val="24"/>
              </w:rPr>
            </w:pPr>
            <w:r>
              <w:rPr>
                <w:rFonts w:hint="eastAsia" w:ascii="宋体" w:hAnsi="宋体" w:cs="宋体"/>
                <w:sz w:val="24"/>
              </w:rPr>
              <w:t>1、支架：采用Q235优质钢材,口径为60圆管，壁厚≥2.3mm，壁长1m，底部焊接固定底座；整体热镀锌，静电喷塑防腐处理，含太阳能支架、抱箍、配件等。</w:t>
            </w:r>
          </w:p>
          <w:p w14:paraId="57616792">
            <w:pPr>
              <w:jc w:val="left"/>
              <w:rPr>
                <w:rFonts w:hint="eastAsia" w:ascii="宋体" w:hAnsi="宋体" w:cs="宋体"/>
                <w:b/>
                <w:bCs/>
                <w:sz w:val="24"/>
              </w:rPr>
            </w:pPr>
            <w:r>
              <w:rPr>
                <w:rFonts w:hint="eastAsia" w:ascii="宋体" w:hAnsi="宋体" w:cs="宋体"/>
                <w:sz w:val="24"/>
              </w:rPr>
              <w:t>2、★</w:t>
            </w:r>
            <w:r>
              <w:rPr>
                <w:rFonts w:hint="eastAsia" w:ascii="宋体" w:hAnsi="宋体" w:cs="宋体"/>
                <w:b/>
                <w:bCs/>
                <w:sz w:val="24"/>
              </w:rPr>
              <w:t>灯具：光源功率60W(±1W)，显色</w:t>
            </w:r>
            <w:r>
              <w:rPr>
                <w:rFonts w:hint="eastAsia" w:ascii="宋体" w:hAnsi="宋体" w:cs="宋体"/>
                <w:b/>
                <w:bCs/>
                <w:sz w:val="24"/>
                <w:highlight w:val="yellow"/>
              </w:rPr>
              <w:t>指数≥70</w:t>
            </w:r>
            <w:r>
              <w:rPr>
                <w:rFonts w:hint="eastAsia" w:ascii="宋体" w:hAnsi="宋体" w:cs="宋体"/>
                <w:b/>
                <w:bCs/>
                <w:sz w:val="24"/>
              </w:rPr>
              <w:t>，色温</w:t>
            </w:r>
            <w:r>
              <w:rPr>
                <w:rFonts w:hint="eastAsia" w:ascii="宋体" w:hAnsi="宋体" w:cs="宋体"/>
                <w:b/>
                <w:bCs/>
                <w:sz w:val="24"/>
                <w:highlight w:val="yellow"/>
              </w:rPr>
              <w:t>5900K-6600K</w:t>
            </w:r>
            <w:r>
              <w:rPr>
                <w:rFonts w:hint="eastAsia" w:ascii="宋体" w:hAnsi="宋体" w:cs="宋体"/>
                <w:b/>
                <w:bCs/>
                <w:sz w:val="24"/>
              </w:rPr>
              <w:t>，灯具尺寸520*205*95mm（±5mm）。防护等级IP≥65，</w:t>
            </w:r>
          </w:p>
          <w:p w14:paraId="531D0E7A">
            <w:pPr>
              <w:jc w:val="left"/>
              <w:rPr>
                <w:rFonts w:ascii="宋体" w:hAnsi="宋体" w:cs="宋体"/>
                <w:sz w:val="24"/>
              </w:rPr>
            </w:pPr>
            <w:r>
              <w:rPr>
                <w:rFonts w:hint="eastAsia" w:ascii="宋体" w:hAnsi="宋体" w:cs="宋体"/>
                <w:sz w:val="24"/>
              </w:rPr>
              <w:t>3、外壳采用全铝压铸、全密封构、外表光滑，灯具结构设计合理、强度高。平均寿命＞50000小时，光衰＜3%，性能稳定；</w:t>
            </w:r>
          </w:p>
          <w:p w14:paraId="3ACF8917">
            <w:pPr>
              <w:jc w:val="left"/>
              <w:rPr>
                <w:rFonts w:ascii="宋体" w:hAnsi="宋体" w:cs="宋体"/>
                <w:sz w:val="24"/>
              </w:rPr>
            </w:pPr>
            <w:r>
              <w:rPr>
                <w:rFonts w:hint="eastAsia" w:ascii="宋体" w:hAnsi="宋体" w:cs="宋体"/>
                <w:sz w:val="24"/>
              </w:rPr>
              <w:t>4、★</w:t>
            </w:r>
            <w:r>
              <w:rPr>
                <w:rFonts w:hint="eastAsia" w:ascii="宋体" w:hAnsi="宋体" w:cs="宋体"/>
                <w:b/>
                <w:bCs/>
                <w:sz w:val="24"/>
              </w:rPr>
              <w:t>太阳能光伏板</w:t>
            </w:r>
            <w:r>
              <w:rPr>
                <w:rFonts w:hint="eastAsia" w:ascii="宋体" w:hAnsi="宋体" w:cs="宋体"/>
                <w:b/>
                <w:bCs/>
                <w:sz w:val="24"/>
                <w:highlight w:val="yellow"/>
              </w:rPr>
              <w:t>：功率≥50W。</w:t>
            </w:r>
          </w:p>
          <w:p w14:paraId="66BB73BA">
            <w:pPr>
              <w:jc w:val="left"/>
              <w:rPr>
                <w:rFonts w:ascii="宋体" w:hAnsi="宋体" w:cs="宋体"/>
                <w:sz w:val="24"/>
              </w:rPr>
            </w:pPr>
            <w:r>
              <w:rPr>
                <w:rFonts w:hint="eastAsia" w:ascii="宋体" w:hAnsi="宋体" w:cs="宋体"/>
                <w:sz w:val="24"/>
              </w:rPr>
              <w:t>多晶硅，转换率＞18%，4时段控制功能，可变功率，有过充过放及防反接功能，平均寿命≥10年；</w:t>
            </w:r>
          </w:p>
          <w:p w14:paraId="6DCEE88D">
            <w:pPr>
              <w:jc w:val="left"/>
              <w:rPr>
                <w:rFonts w:ascii="宋体" w:hAnsi="宋体" w:cs="宋体"/>
                <w:sz w:val="24"/>
              </w:rPr>
            </w:pPr>
            <w:r>
              <w:rPr>
                <w:rFonts w:hint="eastAsia" w:ascii="宋体" w:hAnsi="宋体" w:cs="宋体"/>
                <w:sz w:val="24"/>
              </w:rPr>
              <w:t>5、★</w:t>
            </w:r>
            <w:r>
              <w:rPr>
                <w:rFonts w:hint="eastAsia" w:ascii="宋体" w:hAnsi="宋体" w:cs="宋体"/>
                <w:b/>
                <w:bCs/>
                <w:sz w:val="24"/>
              </w:rPr>
              <w:t>太阳能专用锂电池：额定容量</w:t>
            </w:r>
            <w:r>
              <w:rPr>
                <w:rFonts w:hint="eastAsia" w:ascii="宋体" w:hAnsi="宋体" w:cs="宋体"/>
                <w:b/>
                <w:bCs/>
                <w:sz w:val="24"/>
                <w:highlight w:val="yellow"/>
              </w:rPr>
              <w:t>≥50AH</w:t>
            </w:r>
            <w:r>
              <w:rPr>
                <w:rFonts w:hint="eastAsia" w:ascii="宋体" w:hAnsi="宋体" w:cs="宋体"/>
                <w:sz w:val="24"/>
              </w:rPr>
              <w:t>。</w:t>
            </w:r>
          </w:p>
          <w:p w14:paraId="46FC5F52">
            <w:pPr>
              <w:jc w:val="left"/>
              <w:rPr>
                <w:rFonts w:ascii="宋体" w:hAnsi="宋体" w:cs="宋体"/>
                <w:sz w:val="24"/>
              </w:rPr>
            </w:pPr>
            <w:r>
              <w:rPr>
                <w:rFonts w:hint="eastAsia" w:ascii="宋体" w:hAnsi="宋体" w:cs="宋体"/>
                <w:sz w:val="24"/>
              </w:rPr>
              <w:t>灯头内置，寿命≥10年，亮灯时间12小时；</w:t>
            </w:r>
          </w:p>
          <w:p w14:paraId="09A8B4E3">
            <w:pPr>
              <w:jc w:val="left"/>
              <w:rPr>
                <w:rFonts w:ascii="宋体" w:hAnsi="宋体" w:cs="宋体"/>
                <w:b/>
                <w:sz w:val="24"/>
              </w:rPr>
            </w:pPr>
            <w:r>
              <w:rPr>
                <w:rFonts w:hint="eastAsia" w:ascii="宋体" w:hAnsi="宋体" w:cs="宋体"/>
                <w:b/>
                <w:sz w:val="24"/>
              </w:rPr>
              <w:t>上述带“★”为主要规格参数</w:t>
            </w:r>
          </w:p>
        </w:tc>
        <w:tc>
          <w:tcPr>
            <w:tcW w:w="283" w:type="pct"/>
            <w:vAlign w:val="center"/>
          </w:tcPr>
          <w:p w14:paraId="20940287">
            <w:pPr>
              <w:jc w:val="center"/>
              <w:rPr>
                <w:rFonts w:ascii="宋体" w:hAnsi="宋体" w:cs="宋体"/>
                <w:sz w:val="24"/>
              </w:rPr>
            </w:pPr>
            <w:r>
              <w:rPr>
                <w:rFonts w:hint="eastAsia" w:ascii="宋体" w:hAnsi="宋体" w:cs="宋体"/>
                <w:sz w:val="24"/>
              </w:rPr>
              <w:t>盏</w:t>
            </w:r>
          </w:p>
        </w:tc>
        <w:tc>
          <w:tcPr>
            <w:tcW w:w="284" w:type="pct"/>
            <w:vAlign w:val="center"/>
          </w:tcPr>
          <w:p w14:paraId="17AE3DDD">
            <w:pPr>
              <w:pStyle w:val="2"/>
              <w:jc w:val="center"/>
              <w:rPr>
                <w:rFonts w:ascii="宋体" w:hAnsi="宋体" w:cs="宋体"/>
                <w:sz w:val="24"/>
                <w:szCs w:val="24"/>
              </w:rPr>
            </w:pPr>
            <w:r>
              <w:rPr>
                <w:rFonts w:hint="eastAsia" w:ascii="宋体" w:hAnsi="宋体" w:cs="宋体"/>
                <w:sz w:val="24"/>
                <w:szCs w:val="24"/>
              </w:rPr>
              <w:t>626</w:t>
            </w:r>
          </w:p>
        </w:tc>
        <w:tc>
          <w:tcPr>
            <w:tcW w:w="478" w:type="pct"/>
          </w:tcPr>
          <w:p w14:paraId="12513453">
            <w:pPr>
              <w:pStyle w:val="2"/>
              <w:jc w:val="center"/>
              <w:rPr>
                <w:rFonts w:ascii="宋体" w:hAnsi="宋体" w:cs="宋体"/>
                <w:sz w:val="24"/>
                <w:szCs w:val="24"/>
              </w:rPr>
            </w:pPr>
          </w:p>
        </w:tc>
        <w:tc>
          <w:tcPr>
            <w:tcW w:w="439" w:type="pct"/>
          </w:tcPr>
          <w:p w14:paraId="4F41FC93">
            <w:pPr>
              <w:pStyle w:val="2"/>
              <w:jc w:val="center"/>
              <w:rPr>
                <w:rFonts w:ascii="宋体" w:hAnsi="宋体" w:cs="宋体"/>
                <w:sz w:val="24"/>
                <w:szCs w:val="24"/>
              </w:rPr>
            </w:pPr>
          </w:p>
        </w:tc>
        <w:tc>
          <w:tcPr>
            <w:tcW w:w="501" w:type="pct"/>
          </w:tcPr>
          <w:p w14:paraId="3CB27B4B">
            <w:pPr>
              <w:pStyle w:val="2"/>
              <w:jc w:val="center"/>
              <w:rPr>
                <w:rFonts w:ascii="宋体" w:hAnsi="宋体" w:cs="宋体"/>
                <w:sz w:val="24"/>
                <w:szCs w:val="24"/>
              </w:rPr>
            </w:pPr>
          </w:p>
          <w:p w14:paraId="194E4972"/>
          <w:p w14:paraId="29470BC2"/>
          <w:p w14:paraId="6376D23D"/>
          <w:p w14:paraId="1CF2B9A4"/>
          <w:p w14:paraId="1F6EAF6B">
            <w:r>
              <w:rPr>
                <w:rFonts w:hint="eastAsia" w:ascii="宋体" w:hAnsi="宋体" w:cs="宋体"/>
                <w:szCs w:val="21"/>
              </w:rPr>
              <w:drawing>
                <wp:inline distT="0" distB="0" distL="0" distR="0">
                  <wp:extent cx="695325" cy="428625"/>
                  <wp:effectExtent l="19050" t="0" r="9525" b="0"/>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noChangeArrowheads="1"/>
                          </pic:cNvPicPr>
                        </pic:nvPicPr>
                        <pic:blipFill>
                          <a:blip r:embed="rId6" cstate="print"/>
                          <a:srcRect/>
                          <a:stretch>
                            <a:fillRect/>
                          </a:stretch>
                        </pic:blipFill>
                        <pic:spPr>
                          <a:xfrm>
                            <a:off x="0" y="0"/>
                            <a:ext cx="695325" cy="428625"/>
                          </a:xfrm>
                          <a:prstGeom prst="rect">
                            <a:avLst/>
                          </a:prstGeom>
                          <a:noFill/>
                          <a:ln w="9525">
                            <a:noFill/>
                            <a:miter lim="800000"/>
                            <a:headEnd/>
                            <a:tailEnd/>
                          </a:ln>
                        </pic:spPr>
                      </pic:pic>
                    </a:graphicData>
                  </a:graphic>
                </wp:inline>
              </w:drawing>
            </w:r>
          </w:p>
        </w:tc>
      </w:tr>
      <w:tr w14:paraId="2A5D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8"/>
          </w:tcPr>
          <w:p w14:paraId="120880A9">
            <w:pPr>
              <w:jc w:val="left"/>
              <w:rPr>
                <w:rFonts w:ascii="宋体" w:hAnsi="宋体" w:cs="宋体"/>
                <w:sz w:val="24"/>
              </w:rPr>
            </w:pPr>
            <w:r>
              <w:rPr>
                <w:rFonts w:hint="eastAsia" w:ascii="宋体" w:hAnsi="宋体" w:cs="宋体"/>
                <w:sz w:val="24"/>
              </w:rPr>
              <w:t>备注：</w:t>
            </w:r>
          </w:p>
          <w:p w14:paraId="48F84E4C">
            <w:pPr>
              <w:jc w:val="left"/>
              <w:rPr>
                <w:rFonts w:ascii="宋体" w:hAnsi="宋体" w:cs="宋体"/>
                <w:sz w:val="24"/>
              </w:rPr>
            </w:pPr>
            <w:r>
              <w:rPr>
                <w:rFonts w:hint="eastAsia" w:ascii="宋体" w:hAnsi="宋体" w:cs="宋体"/>
                <w:sz w:val="24"/>
              </w:rPr>
              <w:t>1、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6509A4B2">
            <w:pPr>
              <w:jc w:val="left"/>
              <w:rPr>
                <w:rFonts w:ascii="宋体" w:hAnsi="宋体" w:cs="宋体"/>
                <w:sz w:val="24"/>
              </w:rPr>
            </w:pPr>
            <w:r>
              <w:rPr>
                <w:rFonts w:hint="eastAsia" w:ascii="宋体" w:hAnsi="宋体" w:cs="宋体"/>
                <w:sz w:val="24"/>
              </w:rPr>
              <w:t>2、请供应商实地考察现场，综合考虑各种因素后报价。</w:t>
            </w:r>
          </w:p>
          <w:p w14:paraId="61988751">
            <w:pPr>
              <w:jc w:val="left"/>
              <w:rPr>
                <w:rFonts w:ascii="宋体" w:hAnsi="宋体" w:cs="宋体"/>
                <w:sz w:val="24"/>
              </w:rPr>
            </w:pPr>
            <w:r>
              <w:rPr>
                <w:rFonts w:hint="eastAsia" w:ascii="宋体" w:hAnsi="宋体" w:cs="宋体"/>
                <w:sz w:val="24"/>
              </w:rPr>
              <w:t xml:space="preserve">3、采购标准要求以采购要求、相关国家标准为准，在标准和采购要求不一致时，按要求高的标准执行。 </w:t>
            </w:r>
          </w:p>
          <w:p w14:paraId="040000C6">
            <w:pPr>
              <w:jc w:val="left"/>
              <w:rPr>
                <w:rFonts w:ascii="宋体" w:hAnsi="宋体" w:cs="宋体"/>
                <w:sz w:val="24"/>
              </w:rPr>
            </w:pPr>
            <w:r>
              <w:rPr>
                <w:rFonts w:hint="eastAsia" w:ascii="宋体" w:hAnsi="宋体" w:cs="宋体"/>
                <w:sz w:val="24"/>
              </w:rPr>
              <w:t>4、成交供应商提供的所有货物都必须为全新的原厂正品，不接受翻新产品，一经查实，取消成交资格，并列入采购人的采购黑名单，同时对成交供应商及负责人追究相关法律责任。</w:t>
            </w:r>
          </w:p>
          <w:p w14:paraId="19C5844E">
            <w:pPr>
              <w:jc w:val="left"/>
              <w:rPr>
                <w:rFonts w:ascii="宋体" w:hAnsi="宋体" w:cs="宋体"/>
                <w:sz w:val="24"/>
              </w:rPr>
            </w:pPr>
            <w:r>
              <w:rPr>
                <w:rFonts w:hint="eastAsia" w:ascii="宋体" w:hAnsi="宋体" w:cs="宋体"/>
                <w:sz w:val="24"/>
              </w:rPr>
              <w:t>5、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2D54ED32">
            <w:pPr>
              <w:jc w:val="left"/>
              <w:rPr>
                <w:rFonts w:ascii="宋体" w:hAnsi="宋体" w:cs="宋体"/>
                <w:bCs/>
                <w:sz w:val="24"/>
              </w:rPr>
            </w:pPr>
            <w:r>
              <w:rPr>
                <w:rFonts w:hint="eastAsia" w:ascii="宋体" w:hAnsi="宋体" w:cs="宋体"/>
                <w:bCs/>
                <w:sz w:val="24"/>
              </w:rPr>
              <w:t>6、供应商报价的所有太阳能路灯产品必须为同一品牌及型号，并且须在报价表上明确所投太阳能路灯产品的品牌及型号，否则视为无效响应。</w:t>
            </w:r>
          </w:p>
          <w:p w14:paraId="620F6745">
            <w:pPr>
              <w:jc w:val="left"/>
              <w:rPr>
                <w:rFonts w:ascii="宋体" w:hAnsi="宋体" w:cs="宋体"/>
                <w:sz w:val="24"/>
              </w:rPr>
            </w:pPr>
            <w:r>
              <w:rPr>
                <w:rFonts w:hint="eastAsia" w:ascii="宋体" w:hAnsi="宋体" w:cs="宋体"/>
                <w:bCs/>
                <w:sz w:val="24"/>
              </w:rPr>
              <w:t>7、以上太阳能路灯的数量为暂定，实际安装数量以采购人的实际需求为准。按实结算。</w:t>
            </w:r>
          </w:p>
        </w:tc>
      </w:tr>
    </w:tbl>
    <w:p w14:paraId="7F30150C">
      <w:pPr>
        <w:spacing w:line="220" w:lineRule="atLeast"/>
        <w:rPr>
          <w:rFonts w:ascii="宋体" w:hAnsi="宋体" w:eastAsia="宋体" w:cs="宋体"/>
          <w:b/>
          <w:bCs/>
          <w:color w:val="333333"/>
          <w:sz w:val="28"/>
          <w:szCs w:val="28"/>
          <w:shd w:val="clear" w:color="auto" w:fill="FFFFFF"/>
        </w:rPr>
      </w:pPr>
    </w:p>
    <w:p w14:paraId="19F2D83A">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报价单位（盖章）：           </w:t>
      </w:r>
    </w:p>
    <w:p w14:paraId="76D58EE2">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联系人：        </w:t>
      </w:r>
    </w:p>
    <w:p w14:paraId="5C336A4B">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联系电话：</w:t>
      </w:r>
    </w:p>
    <w:p w14:paraId="14C2CB95">
      <w:pPr>
        <w:spacing w:line="220" w:lineRule="atLeast"/>
        <w:rPr>
          <w:rFonts w:asciiTheme="majorEastAsia" w:hAnsiTheme="majorEastAsia" w:eastAsiaTheme="majorEastAsia"/>
          <w:sz w:val="28"/>
          <w:szCs w:val="28"/>
        </w:rPr>
      </w:pPr>
      <w:r>
        <w:rPr>
          <w:rFonts w:asciiTheme="majorEastAsia" w:hAnsiTheme="majorEastAsia" w:eastAsiaTheme="majorEastAsia"/>
          <w:sz w:val="28"/>
          <w:szCs w:val="28"/>
        </w:rPr>
        <w:t>日期：</w:t>
      </w:r>
    </w:p>
    <w:p w14:paraId="4C1582D5">
      <w:pPr>
        <w:spacing w:line="400" w:lineRule="exact"/>
        <w:rPr>
          <w:rFonts w:ascii="宋体" w:hAnsi="宋体" w:eastAsia="宋体" w:cs="宋体"/>
          <w:b/>
          <w:bCs/>
          <w:color w:val="333333"/>
          <w:sz w:val="28"/>
          <w:szCs w:val="28"/>
          <w:shd w:val="clear" w:color="auto" w:fill="FFFFFF"/>
        </w:rPr>
      </w:pPr>
    </w:p>
    <w:p w14:paraId="25C83CBF">
      <w:pPr>
        <w:spacing w:line="400" w:lineRule="exact"/>
        <w:rPr>
          <w:rFonts w:ascii="宋体" w:hAnsi="宋体" w:eastAsia="宋体" w:cs="宋体"/>
          <w:b/>
          <w:bCs/>
          <w:color w:val="333333"/>
          <w:sz w:val="28"/>
          <w:szCs w:val="28"/>
          <w:shd w:val="clear" w:color="auto" w:fill="FFFFFF"/>
        </w:rPr>
      </w:pPr>
    </w:p>
    <w:sectPr>
      <w:footerReference r:id="rId3" w:type="default"/>
      <w:pgSz w:w="11906" w:h="16838"/>
      <w:pgMar w:top="1440" w:right="991" w:bottom="993"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020E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88F656">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988F65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ZWVlNjA5ZjBkM2MwZDZmYTRhZGQ3MTU0NWM5MWYifQ=="/>
  </w:docVars>
  <w:rsids>
    <w:rsidRoot w:val="00C735D2"/>
    <w:rsid w:val="00021FDC"/>
    <w:rsid w:val="000378DC"/>
    <w:rsid w:val="000503AC"/>
    <w:rsid w:val="00051FCB"/>
    <w:rsid w:val="000545B1"/>
    <w:rsid w:val="000768C6"/>
    <w:rsid w:val="00094830"/>
    <w:rsid w:val="000A6DE0"/>
    <w:rsid w:val="001212D0"/>
    <w:rsid w:val="001509EE"/>
    <w:rsid w:val="00166A0E"/>
    <w:rsid w:val="001765D8"/>
    <w:rsid w:val="001A1E61"/>
    <w:rsid w:val="001B347F"/>
    <w:rsid w:val="001C1BDB"/>
    <w:rsid w:val="001D4569"/>
    <w:rsid w:val="001E1BBD"/>
    <w:rsid w:val="001F51D1"/>
    <w:rsid w:val="00214411"/>
    <w:rsid w:val="00220756"/>
    <w:rsid w:val="00232ED0"/>
    <w:rsid w:val="002906B8"/>
    <w:rsid w:val="002955C3"/>
    <w:rsid w:val="0029799C"/>
    <w:rsid w:val="002A2DCB"/>
    <w:rsid w:val="002D0616"/>
    <w:rsid w:val="002E4DF7"/>
    <w:rsid w:val="002F5FFC"/>
    <w:rsid w:val="003128C4"/>
    <w:rsid w:val="00313570"/>
    <w:rsid w:val="00386A0B"/>
    <w:rsid w:val="00391DD0"/>
    <w:rsid w:val="003933FF"/>
    <w:rsid w:val="003E6907"/>
    <w:rsid w:val="004073AE"/>
    <w:rsid w:val="004A259C"/>
    <w:rsid w:val="004B071F"/>
    <w:rsid w:val="004C5F85"/>
    <w:rsid w:val="004D6616"/>
    <w:rsid w:val="00514AE0"/>
    <w:rsid w:val="00583E44"/>
    <w:rsid w:val="00594784"/>
    <w:rsid w:val="005C3E61"/>
    <w:rsid w:val="005F3580"/>
    <w:rsid w:val="00635039"/>
    <w:rsid w:val="006520C4"/>
    <w:rsid w:val="0065277D"/>
    <w:rsid w:val="0067711E"/>
    <w:rsid w:val="0068338E"/>
    <w:rsid w:val="00693E73"/>
    <w:rsid w:val="006D4FA2"/>
    <w:rsid w:val="007229A7"/>
    <w:rsid w:val="00723712"/>
    <w:rsid w:val="007713DE"/>
    <w:rsid w:val="007A56EB"/>
    <w:rsid w:val="007F1834"/>
    <w:rsid w:val="007F7935"/>
    <w:rsid w:val="00815171"/>
    <w:rsid w:val="008631C2"/>
    <w:rsid w:val="008816F6"/>
    <w:rsid w:val="008978A5"/>
    <w:rsid w:val="008C6631"/>
    <w:rsid w:val="008D3829"/>
    <w:rsid w:val="008E59CD"/>
    <w:rsid w:val="008F3EF6"/>
    <w:rsid w:val="008F4DFC"/>
    <w:rsid w:val="00925A10"/>
    <w:rsid w:val="009446C6"/>
    <w:rsid w:val="009546B2"/>
    <w:rsid w:val="009836B0"/>
    <w:rsid w:val="00996048"/>
    <w:rsid w:val="009C5ACD"/>
    <w:rsid w:val="009C7481"/>
    <w:rsid w:val="00A050F5"/>
    <w:rsid w:val="00A14F55"/>
    <w:rsid w:val="00A20E08"/>
    <w:rsid w:val="00A477E6"/>
    <w:rsid w:val="00A90812"/>
    <w:rsid w:val="00AA0B82"/>
    <w:rsid w:val="00AA296C"/>
    <w:rsid w:val="00AA59D2"/>
    <w:rsid w:val="00AB23AE"/>
    <w:rsid w:val="00AB47AE"/>
    <w:rsid w:val="00AC75CC"/>
    <w:rsid w:val="00AD7912"/>
    <w:rsid w:val="00AD7D19"/>
    <w:rsid w:val="00B26B29"/>
    <w:rsid w:val="00B5252B"/>
    <w:rsid w:val="00B870F2"/>
    <w:rsid w:val="00C43252"/>
    <w:rsid w:val="00C735D2"/>
    <w:rsid w:val="00CA5B1E"/>
    <w:rsid w:val="00CB2BCB"/>
    <w:rsid w:val="00CD1779"/>
    <w:rsid w:val="00D11C3B"/>
    <w:rsid w:val="00D271F3"/>
    <w:rsid w:val="00D3705B"/>
    <w:rsid w:val="00D53648"/>
    <w:rsid w:val="00D751FA"/>
    <w:rsid w:val="00D8314F"/>
    <w:rsid w:val="00D9295E"/>
    <w:rsid w:val="00DA63FB"/>
    <w:rsid w:val="00E03E9C"/>
    <w:rsid w:val="00E31546"/>
    <w:rsid w:val="00E571F7"/>
    <w:rsid w:val="00E57836"/>
    <w:rsid w:val="00E607C8"/>
    <w:rsid w:val="00E738C1"/>
    <w:rsid w:val="00E966A9"/>
    <w:rsid w:val="00EA6066"/>
    <w:rsid w:val="00EC049E"/>
    <w:rsid w:val="00EE04B7"/>
    <w:rsid w:val="00EF214F"/>
    <w:rsid w:val="00F22852"/>
    <w:rsid w:val="00F26D77"/>
    <w:rsid w:val="00F30364"/>
    <w:rsid w:val="00F47BF2"/>
    <w:rsid w:val="00F55023"/>
    <w:rsid w:val="00F74614"/>
    <w:rsid w:val="00F81887"/>
    <w:rsid w:val="00F84CE3"/>
    <w:rsid w:val="00FD0D54"/>
    <w:rsid w:val="00FD6960"/>
    <w:rsid w:val="00FF4551"/>
    <w:rsid w:val="05921217"/>
    <w:rsid w:val="06AF2C81"/>
    <w:rsid w:val="101C3B92"/>
    <w:rsid w:val="1E0C276D"/>
    <w:rsid w:val="1E384531"/>
    <w:rsid w:val="276F6717"/>
    <w:rsid w:val="34F3660C"/>
    <w:rsid w:val="5C7110F5"/>
    <w:rsid w:val="61A347AE"/>
    <w:rsid w:val="61AC19DF"/>
    <w:rsid w:val="63ED6FCB"/>
    <w:rsid w:val="71325CF4"/>
    <w:rsid w:val="73A85679"/>
    <w:rsid w:val="75C874D5"/>
    <w:rsid w:val="7C433E60"/>
    <w:rsid w:val="7CD56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spacing w:after="120"/>
    </w:pPr>
    <w:rPr>
      <w:rFonts w:ascii="Times New Roman" w:hAnsi="Times New Roman"/>
      <w:szCs w:val="20"/>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paragraph" w:styleId="7">
    <w:name w:val="Body Text First Indent"/>
    <w:basedOn w:val="2"/>
    <w:link w:val="13"/>
    <w:qFormat/>
    <w:uiPriority w:val="0"/>
    <w:pPr>
      <w:ind w:firstLine="420" w:firstLineChars="100"/>
    </w:pPr>
    <w:rPr>
      <w:rFonts w:asciiTheme="minorHAnsi" w:hAnsiTheme="minorHAnsi"/>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rPr>
      <w:rFonts w:ascii="Tahoma" w:hAnsi="Tahoma" w:eastAsia="微软雅黑" w:cstheme="minorBidi"/>
      <w:sz w:val="22"/>
      <w:szCs w:val="22"/>
      <w:lang w:val="en-US" w:eastAsia="zh-CN" w:bidi="ar-SA"/>
    </w:rPr>
  </w:style>
  <w:style w:type="character" w:customStyle="1" w:styleId="12">
    <w:name w:val="正文文本 Char"/>
    <w:basedOn w:val="10"/>
    <w:link w:val="2"/>
    <w:qFormat/>
    <w:uiPriority w:val="0"/>
    <w:rPr>
      <w:rFonts w:eastAsiaTheme="minorEastAsia" w:cstheme="minorBidi"/>
      <w:kern w:val="2"/>
      <w:sz w:val="21"/>
    </w:rPr>
  </w:style>
  <w:style w:type="character" w:customStyle="1" w:styleId="13">
    <w:name w:val="正文首行缩进 Char"/>
    <w:basedOn w:val="12"/>
    <w:link w:val="7"/>
    <w:qFormat/>
    <w:uiPriority w:val="0"/>
  </w:style>
  <w:style w:type="character" w:customStyle="1" w:styleId="14">
    <w:name w:val="批注框文本 Char"/>
    <w:basedOn w:val="10"/>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2169</Words>
  <Characters>2360</Characters>
  <Lines>2</Lines>
  <Paragraphs>4</Paragraphs>
  <TotalTime>299</TotalTime>
  <ScaleCrop>false</ScaleCrop>
  <LinksUpToDate>false</LinksUpToDate>
  <CharactersWithSpaces>2380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2023-05-17T06:56:00Z</dcterms:created>
  <dc:creator>Administrator</dc:creator>
  <cp:lastModifiedBy>燚燚</cp:lastModifiedBy>
  <dcterms:modified xsi:type="dcterms:W3CDTF">2025-08-21T01:15:44Z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A581569AFF6C45119A6D7E2D18058FE7_13</vt:lpwstr>
  </property>
  <property fmtid="{D5CDD505-2E9C-101B-9397-08002B2CF9AE}" pid="4" name="KSOTemplateDocerSaveRecord">
    <vt:lpwstr>eyJoZGlkIjoiOTExMzM2YmE3ODI0N2EwY2M1M2NiN2MwNjg5ZTAwN2EiLCJ1c2VySWQiOiI3NDcwNzM0MDcifQ==</vt:lpwstr>
  </property>
</Properties>
</file>