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00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年度汇龙镇人民政府及下属单位、村集体资金定期存款存放银行招投标变更公告</w:t>
      </w:r>
    </w:p>
    <w:p w14:paraId="18D15453"/>
    <w:p w14:paraId="121F8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年2月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日发布的20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 xml:space="preserve">年度汇龙镇人民政府及下属单位、村集体资金定期存款存放银行招投标公告中定期存款利率报价表做如下变更： </w:t>
      </w:r>
    </w:p>
    <w:p w14:paraId="364493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p>
    <w:p w14:paraId="7214CD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eastAsia="zh-CN"/>
        </w:rPr>
        <w:t>：</w:t>
      </w:r>
    </w:p>
    <w:p w14:paraId="5A9F53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Cs/>
          <w:spacing w:val="-11"/>
          <w:sz w:val="44"/>
          <w:szCs w:val="44"/>
        </w:rPr>
      </w:pPr>
      <w:r>
        <w:rPr>
          <w:rFonts w:hint="eastAsia" w:ascii="方正大标宋简体" w:hAnsi="方正大标宋简体" w:eastAsia="方正大标宋简体" w:cs="方正大标宋简体"/>
          <w:bCs/>
          <w:spacing w:val="-11"/>
          <w:sz w:val="44"/>
          <w:szCs w:val="44"/>
        </w:rPr>
        <w:t>202</w:t>
      </w:r>
      <w:r>
        <w:rPr>
          <w:rFonts w:hint="eastAsia" w:ascii="方正大标宋简体" w:hAnsi="方正大标宋简体" w:eastAsia="方正大标宋简体" w:cs="方正大标宋简体"/>
          <w:bCs/>
          <w:spacing w:val="-11"/>
          <w:sz w:val="44"/>
          <w:szCs w:val="44"/>
          <w:lang w:val="en-US" w:eastAsia="zh-CN"/>
        </w:rPr>
        <w:t>5</w:t>
      </w:r>
      <w:r>
        <w:rPr>
          <w:rFonts w:hint="eastAsia" w:ascii="方正大标宋简体" w:hAnsi="方正大标宋简体" w:eastAsia="方正大标宋简体" w:cs="方正大标宋简体"/>
          <w:bCs/>
          <w:spacing w:val="-11"/>
          <w:sz w:val="44"/>
          <w:szCs w:val="44"/>
        </w:rPr>
        <w:t>年度启东市汇龙镇人民政府及下属单位、</w:t>
      </w:r>
    </w:p>
    <w:p w14:paraId="10DA6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pacing w:val="-11"/>
          <w:sz w:val="44"/>
          <w:szCs w:val="44"/>
        </w:rPr>
        <w:t>村集体资金定期存款利率报价表</w:t>
      </w:r>
    </w:p>
    <w:p w14:paraId="181CEF96">
      <w:pPr>
        <w:spacing w:line="360" w:lineRule="auto"/>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 xml:space="preserve">报价人名称（盖章）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304"/>
        <w:gridCol w:w="1304"/>
        <w:gridCol w:w="1304"/>
        <w:gridCol w:w="1304"/>
        <w:gridCol w:w="1304"/>
      </w:tblGrid>
      <w:tr w14:paraId="1817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07" w:type="dxa"/>
            <w:vMerge w:val="restart"/>
            <w:vAlign w:val="center"/>
          </w:tcPr>
          <w:p w14:paraId="46D6F9CE">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单笔资金</w:t>
            </w:r>
          </w:p>
        </w:tc>
        <w:tc>
          <w:tcPr>
            <w:tcW w:w="6520" w:type="dxa"/>
            <w:gridSpan w:val="5"/>
            <w:vAlign w:val="center"/>
          </w:tcPr>
          <w:p w14:paraId="684598E3">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定期存款期限</w:t>
            </w:r>
          </w:p>
        </w:tc>
      </w:tr>
      <w:tr w14:paraId="2F1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07" w:type="dxa"/>
            <w:vMerge w:val="continue"/>
            <w:vAlign w:val="center"/>
          </w:tcPr>
          <w:p w14:paraId="24ACACB1">
            <w:pPr>
              <w:pStyle w:val="2"/>
              <w:jc w:val="center"/>
              <w:rPr>
                <w:rFonts w:hint="default" w:ascii="Times New Roman" w:hAnsi="Times New Roman" w:eastAsia="黑体" w:cs="Times New Roman"/>
                <w:b w:val="0"/>
                <w:bCs/>
                <w:sz w:val="24"/>
                <w:szCs w:val="24"/>
              </w:rPr>
            </w:pPr>
          </w:p>
        </w:tc>
        <w:tc>
          <w:tcPr>
            <w:tcW w:w="1304" w:type="dxa"/>
            <w:vAlign w:val="center"/>
          </w:tcPr>
          <w:p w14:paraId="57BA0337">
            <w:pPr>
              <w:pStyle w:val="2"/>
              <w:jc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三年</w:t>
            </w:r>
          </w:p>
          <w:p w14:paraId="654E4BEA">
            <w:pPr>
              <w:pStyle w:val="2"/>
              <w:jc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（利率）</w:t>
            </w:r>
          </w:p>
        </w:tc>
        <w:tc>
          <w:tcPr>
            <w:tcW w:w="1304" w:type="dxa"/>
            <w:vAlign w:val="center"/>
          </w:tcPr>
          <w:p w14:paraId="1710D071">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二年</w:t>
            </w:r>
          </w:p>
          <w:p w14:paraId="2BDD7470">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（利率）</w:t>
            </w:r>
          </w:p>
        </w:tc>
        <w:tc>
          <w:tcPr>
            <w:tcW w:w="1304" w:type="dxa"/>
            <w:vAlign w:val="center"/>
          </w:tcPr>
          <w:p w14:paraId="55C2134A">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一年</w:t>
            </w:r>
          </w:p>
          <w:p w14:paraId="5FF54831">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（利率）</w:t>
            </w:r>
          </w:p>
        </w:tc>
        <w:tc>
          <w:tcPr>
            <w:tcW w:w="1304" w:type="dxa"/>
            <w:vAlign w:val="center"/>
          </w:tcPr>
          <w:p w14:paraId="7B2CEBD7">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六个月</w:t>
            </w:r>
          </w:p>
          <w:p w14:paraId="28C86563">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（利率）</w:t>
            </w:r>
          </w:p>
        </w:tc>
        <w:tc>
          <w:tcPr>
            <w:tcW w:w="1304" w:type="dxa"/>
            <w:vAlign w:val="center"/>
          </w:tcPr>
          <w:p w14:paraId="574392BA">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三个月</w:t>
            </w:r>
          </w:p>
          <w:p w14:paraId="3871CA99">
            <w:pPr>
              <w:pStyle w:val="2"/>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（利率）</w:t>
            </w:r>
          </w:p>
        </w:tc>
      </w:tr>
      <w:tr w14:paraId="3F4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07" w:type="dxa"/>
            <w:vAlign w:val="center"/>
          </w:tcPr>
          <w:p w14:paraId="0F037AC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1000万元以内</w:t>
            </w:r>
          </w:p>
        </w:tc>
        <w:tc>
          <w:tcPr>
            <w:tcW w:w="1304" w:type="dxa"/>
            <w:vAlign w:val="center"/>
          </w:tcPr>
          <w:p w14:paraId="0DF0C7F3">
            <w:pPr>
              <w:pStyle w:val="2"/>
              <w:jc w:val="center"/>
              <w:rPr>
                <w:rFonts w:ascii="宋体" w:hAnsi="宋体" w:cs="宋体"/>
                <w:b/>
                <w:bCs w:val="0"/>
                <w:sz w:val="24"/>
                <w:szCs w:val="24"/>
              </w:rPr>
            </w:pPr>
          </w:p>
        </w:tc>
        <w:tc>
          <w:tcPr>
            <w:tcW w:w="1304" w:type="dxa"/>
            <w:vAlign w:val="center"/>
          </w:tcPr>
          <w:p w14:paraId="13A3307C">
            <w:pPr>
              <w:pStyle w:val="2"/>
              <w:jc w:val="center"/>
              <w:rPr>
                <w:rFonts w:ascii="宋体" w:hAnsi="宋体" w:cs="宋体"/>
                <w:b/>
                <w:bCs w:val="0"/>
                <w:sz w:val="24"/>
                <w:szCs w:val="24"/>
              </w:rPr>
            </w:pPr>
          </w:p>
        </w:tc>
        <w:tc>
          <w:tcPr>
            <w:tcW w:w="1304" w:type="dxa"/>
            <w:vAlign w:val="center"/>
          </w:tcPr>
          <w:p w14:paraId="3EA37BCE">
            <w:pPr>
              <w:pStyle w:val="2"/>
              <w:jc w:val="center"/>
              <w:rPr>
                <w:rFonts w:ascii="宋体" w:hAnsi="宋体" w:cs="宋体"/>
                <w:b/>
                <w:bCs w:val="0"/>
                <w:sz w:val="24"/>
                <w:szCs w:val="24"/>
              </w:rPr>
            </w:pPr>
          </w:p>
        </w:tc>
        <w:tc>
          <w:tcPr>
            <w:tcW w:w="1304" w:type="dxa"/>
            <w:vAlign w:val="center"/>
          </w:tcPr>
          <w:p w14:paraId="631EE8FE">
            <w:pPr>
              <w:pStyle w:val="2"/>
              <w:jc w:val="center"/>
              <w:rPr>
                <w:rFonts w:ascii="宋体" w:hAnsi="宋体" w:cs="宋体"/>
                <w:b/>
                <w:bCs w:val="0"/>
                <w:sz w:val="24"/>
                <w:szCs w:val="24"/>
              </w:rPr>
            </w:pPr>
          </w:p>
        </w:tc>
        <w:tc>
          <w:tcPr>
            <w:tcW w:w="1304" w:type="dxa"/>
            <w:vAlign w:val="center"/>
          </w:tcPr>
          <w:p w14:paraId="1A525E50">
            <w:pPr>
              <w:pStyle w:val="2"/>
              <w:jc w:val="center"/>
              <w:rPr>
                <w:rFonts w:ascii="宋体" w:hAnsi="宋体" w:cs="宋体"/>
                <w:b/>
                <w:bCs w:val="0"/>
                <w:sz w:val="24"/>
                <w:szCs w:val="24"/>
              </w:rPr>
            </w:pPr>
          </w:p>
        </w:tc>
      </w:tr>
      <w:tr w14:paraId="2C3A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07" w:type="dxa"/>
            <w:vAlign w:val="center"/>
          </w:tcPr>
          <w:p w14:paraId="5946F68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1000万元及以上大额存单</w:t>
            </w:r>
          </w:p>
        </w:tc>
        <w:tc>
          <w:tcPr>
            <w:tcW w:w="1304" w:type="dxa"/>
            <w:vAlign w:val="center"/>
          </w:tcPr>
          <w:p w14:paraId="1B5D9B62">
            <w:pPr>
              <w:pStyle w:val="2"/>
              <w:jc w:val="center"/>
              <w:rPr>
                <w:rFonts w:ascii="宋体" w:hAnsi="宋体" w:cs="宋体"/>
                <w:b/>
                <w:bCs w:val="0"/>
                <w:sz w:val="24"/>
                <w:szCs w:val="24"/>
              </w:rPr>
            </w:pPr>
          </w:p>
        </w:tc>
        <w:tc>
          <w:tcPr>
            <w:tcW w:w="1304" w:type="dxa"/>
            <w:vAlign w:val="center"/>
          </w:tcPr>
          <w:p w14:paraId="52083507">
            <w:pPr>
              <w:pStyle w:val="2"/>
              <w:jc w:val="center"/>
              <w:rPr>
                <w:rFonts w:ascii="宋体" w:hAnsi="宋体" w:cs="宋体"/>
                <w:b/>
                <w:bCs w:val="0"/>
                <w:sz w:val="24"/>
                <w:szCs w:val="24"/>
              </w:rPr>
            </w:pPr>
          </w:p>
        </w:tc>
        <w:tc>
          <w:tcPr>
            <w:tcW w:w="1304" w:type="dxa"/>
            <w:vAlign w:val="center"/>
          </w:tcPr>
          <w:p w14:paraId="0508439C">
            <w:pPr>
              <w:pStyle w:val="2"/>
              <w:jc w:val="center"/>
              <w:rPr>
                <w:rFonts w:ascii="宋体" w:hAnsi="宋体" w:cs="宋体"/>
                <w:b/>
                <w:bCs w:val="0"/>
                <w:sz w:val="24"/>
                <w:szCs w:val="24"/>
              </w:rPr>
            </w:pPr>
          </w:p>
        </w:tc>
        <w:tc>
          <w:tcPr>
            <w:tcW w:w="1304" w:type="dxa"/>
            <w:vAlign w:val="center"/>
          </w:tcPr>
          <w:p w14:paraId="43EC2920">
            <w:pPr>
              <w:pStyle w:val="2"/>
              <w:jc w:val="center"/>
              <w:rPr>
                <w:rFonts w:ascii="宋体" w:hAnsi="宋体" w:cs="宋体"/>
                <w:b/>
                <w:bCs w:val="0"/>
                <w:sz w:val="24"/>
                <w:szCs w:val="24"/>
              </w:rPr>
            </w:pPr>
          </w:p>
        </w:tc>
        <w:tc>
          <w:tcPr>
            <w:tcW w:w="1304" w:type="dxa"/>
            <w:vAlign w:val="center"/>
          </w:tcPr>
          <w:p w14:paraId="6695B2C7">
            <w:pPr>
              <w:pStyle w:val="2"/>
              <w:jc w:val="center"/>
              <w:rPr>
                <w:rFonts w:ascii="宋体" w:hAnsi="宋体" w:cs="宋体"/>
                <w:b/>
                <w:bCs w:val="0"/>
                <w:sz w:val="24"/>
                <w:szCs w:val="24"/>
              </w:rPr>
            </w:pPr>
          </w:p>
        </w:tc>
      </w:tr>
    </w:tbl>
    <w:p w14:paraId="155F07EF">
      <w:pPr>
        <w:rPr>
          <w:rFonts w:hint="default" w:ascii="Times New Roman" w:hAnsi="Times New Roman" w:eastAsia="楷体_GB2312" w:cs="Times New Roman"/>
          <w:bCs/>
          <w:spacing w:val="-11"/>
          <w:sz w:val="28"/>
          <w:szCs w:val="28"/>
        </w:rPr>
      </w:pPr>
      <w:r>
        <w:rPr>
          <w:rFonts w:hint="default" w:ascii="Times New Roman" w:hAnsi="Times New Roman" w:eastAsia="楷体_GB2312" w:cs="Times New Roman"/>
          <w:bCs/>
          <w:spacing w:val="-11"/>
          <w:sz w:val="28"/>
          <w:szCs w:val="28"/>
        </w:rPr>
        <w:t>备注：202</w:t>
      </w:r>
      <w:r>
        <w:rPr>
          <w:rFonts w:hint="default" w:ascii="Times New Roman" w:hAnsi="Times New Roman" w:eastAsia="楷体_GB2312" w:cs="Times New Roman"/>
          <w:bCs/>
          <w:spacing w:val="-11"/>
          <w:sz w:val="28"/>
          <w:szCs w:val="28"/>
          <w:lang w:val="en-US" w:eastAsia="zh-CN"/>
        </w:rPr>
        <w:t>5</w:t>
      </w:r>
      <w:r>
        <w:rPr>
          <w:rFonts w:hint="default" w:ascii="Times New Roman" w:hAnsi="Times New Roman" w:eastAsia="楷体_GB2312" w:cs="Times New Roman"/>
          <w:bCs/>
          <w:spacing w:val="-11"/>
          <w:sz w:val="28"/>
          <w:szCs w:val="28"/>
        </w:rPr>
        <w:t>年3月1日</w:t>
      </w:r>
      <w:r>
        <w:rPr>
          <w:rFonts w:hint="default" w:ascii="Times New Roman" w:hAnsi="Times New Roman" w:eastAsia="楷体_GB2312" w:cs="Times New Roman"/>
          <w:bCs/>
          <w:spacing w:val="-11"/>
          <w:sz w:val="28"/>
          <w:szCs w:val="28"/>
          <w:lang w:eastAsia="zh-CN"/>
        </w:rPr>
        <w:t>—</w:t>
      </w:r>
      <w:r>
        <w:rPr>
          <w:rFonts w:hint="default" w:ascii="Times New Roman" w:hAnsi="Times New Roman" w:eastAsia="楷体_GB2312" w:cs="Times New Roman"/>
          <w:bCs/>
          <w:spacing w:val="-11"/>
          <w:sz w:val="28"/>
          <w:szCs w:val="28"/>
        </w:rPr>
        <w:t>202</w:t>
      </w:r>
      <w:r>
        <w:rPr>
          <w:rFonts w:hint="default" w:ascii="Times New Roman" w:hAnsi="Times New Roman" w:eastAsia="楷体_GB2312" w:cs="Times New Roman"/>
          <w:bCs/>
          <w:spacing w:val="-11"/>
          <w:sz w:val="28"/>
          <w:szCs w:val="28"/>
          <w:lang w:val="en-US" w:eastAsia="zh-CN"/>
        </w:rPr>
        <w:t>6</w:t>
      </w:r>
      <w:r>
        <w:rPr>
          <w:rFonts w:hint="default" w:ascii="Times New Roman" w:hAnsi="Times New Roman" w:eastAsia="楷体_GB2312" w:cs="Times New Roman"/>
          <w:bCs/>
          <w:spacing w:val="-11"/>
          <w:sz w:val="28"/>
          <w:szCs w:val="28"/>
        </w:rPr>
        <w:t>年2月28日整一年内存款利率以此为准。</w:t>
      </w:r>
    </w:p>
    <w:p w14:paraId="289DCEC2">
      <w:pP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其他招标事项不变。</w:t>
      </w:r>
      <w:bookmarkStart w:id="0" w:name="_GoBack"/>
      <w:bookmarkEnd w:id="0"/>
    </w:p>
    <w:p w14:paraId="5B7BD164">
      <w:pPr>
        <w:rPr>
          <w:rFonts w:hint="eastAsia" w:ascii="仿宋_GB2312" w:hAnsi="仿宋_GB2312" w:eastAsia="仿宋_GB2312" w:cs="仿宋_GB2312"/>
          <w:sz w:val="32"/>
          <w:szCs w:val="32"/>
        </w:rPr>
      </w:pPr>
    </w:p>
    <w:p w14:paraId="5BAEF2A0">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启东市汇龙镇人民政府</w:t>
      </w:r>
    </w:p>
    <w:p w14:paraId="76EF097D">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sz w:val="28"/>
          <w:szCs w:val="28"/>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年2月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43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7F6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03E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2F98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735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5FB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E3"/>
    <w:rsid w:val="000A76E9"/>
    <w:rsid w:val="00103AE3"/>
    <w:rsid w:val="0061221B"/>
    <w:rsid w:val="00912436"/>
    <w:rsid w:val="009D7687"/>
    <w:rsid w:val="00BB035C"/>
    <w:rsid w:val="00BE7F94"/>
    <w:rsid w:val="00C76895"/>
    <w:rsid w:val="06FD5248"/>
    <w:rsid w:val="4C3E66FB"/>
    <w:rsid w:val="50AB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rPr>
      <w:rFonts w:ascii="华文中宋" w:hAnsi="Times New Roman" w:eastAsia="华文中宋" w:cs="Times New Roman"/>
      <w:bCs/>
      <w:sz w:val="28"/>
      <w:szCs w:val="2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 Char"/>
    <w:basedOn w:val="8"/>
    <w:link w:val="2"/>
    <w:qFormat/>
    <w:uiPriority w:val="99"/>
    <w:rPr>
      <w:rFonts w:ascii="华文中宋" w:hAnsi="Times New Roman" w:eastAsia="华文中宋" w:cs="Times New Roman"/>
      <w:bCs/>
      <w:sz w:val="28"/>
      <w:szCs w:val="20"/>
    </w:rPr>
  </w:style>
  <w:style w:type="character" w:customStyle="1" w:styleId="12">
    <w:name w:val="日期 Char"/>
    <w:basedOn w:val="8"/>
    <w:link w:val="3"/>
    <w:semiHidden/>
    <w:uiPriority w:val="99"/>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253</Words>
  <Characters>284</Characters>
  <Lines>3</Lines>
  <Paragraphs>1</Paragraphs>
  <TotalTime>4</TotalTime>
  <ScaleCrop>false</ScaleCrop>
  <LinksUpToDate>false</LinksUpToDate>
  <CharactersWithSpaces>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2024-02-27T05:36:00Z</dcterms:created>
  <dc:creator>Microsoft</dc:creator>
  <cp:lastModifiedBy>Administrator</cp:lastModifiedBy>
  <cp:lastPrinted>2024-03-01T00:59:00Z</cp:lastPrinted>
  <dcterms:modified xsi:type="dcterms:W3CDTF">2025-02-21T06:40:41Z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eyJoZGlkIjoiZDY2YjJiNjc3ZDQyNDFhMWMyYTA0NDZhYmFjOGIxNjIifQ==</vt:lpwstr>
  </property>
  <property fmtid="{D5CDD505-2E9C-101B-9397-08002B2CF9AE}" pid="3" name="KSOProductBuildVer">
    <vt:lpwstr>2052-12.1.0.19770</vt:lpwstr>
  </property>
  <property fmtid="{D5CDD505-2E9C-101B-9397-08002B2CF9AE}" pid="4" name="ICV">
    <vt:lpwstr>D4008E44359146E396A95EE754EC6E50_13</vt:lpwstr>
  </property>
</Properties>
</file>