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DA064">
      <w:pPr>
        <w:ind w:firstLine="562" w:firstLineChars="200"/>
        <w:jc w:val="center"/>
        <w:rPr>
          <w:rFonts w:hint="eastAsia" w:ascii="Times New Roman" w:hAnsi="Times New Roman" w:cs="Times New Roman" w:eastAsiaTheme="minorEastAsia"/>
          <w:b/>
          <w:bCs/>
          <w:sz w:val="28"/>
          <w:szCs w:val="28"/>
          <w:shd w:val="clear" w:color="auto" w:fill="FFFFFF"/>
          <w:lang w:eastAsia="zh-CN"/>
        </w:rPr>
      </w:pPr>
      <w:r>
        <w:rPr>
          <w:rFonts w:hint="eastAsia" w:ascii="Times New Roman" w:hAnsi="Times New Roman" w:cs="Times New Roman"/>
          <w:b/>
          <w:bCs/>
          <w:sz w:val="28"/>
          <w:szCs w:val="28"/>
          <w:shd w:val="clear" w:color="auto" w:fill="FFFFFF"/>
          <w:lang w:eastAsia="zh-CN"/>
        </w:rPr>
        <w:t>2026年启东市汇龙镇临江村路灯更新工程</w:t>
      </w:r>
    </w:p>
    <w:p w14:paraId="02C8953E">
      <w:pPr>
        <w:ind w:firstLine="562" w:firstLineChars="200"/>
        <w:jc w:val="center"/>
        <w:rPr>
          <w:rFonts w:ascii="Times New Roman" w:hAnsi="Times New Roman" w:cs="Times New Roman"/>
          <w:b/>
          <w:bCs/>
          <w:sz w:val="28"/>
          <w:szCs w:val="28"/>
          <w:shd w:val="clear" w:color="auto" w:fill="FFFFFF"/>
        </w:rPr>
      </w:pPr>
      <w:r>
        <w:rPr>
          <w:rFonts w:hint="eastAsia" w:ascii="Times New Roman" w:hAnsi="Times New Roman" w:cs="Times New Roman"/>
          <w:b/>
          <w:bCs/>
          <w:sz w:val="28"/>
          <w:szCs w:val="28"/>
          <w:shd w:val="clear" w:color="auto" w:fill="FFFFFF"/>
        </w:rPr>
        <w:t>市场询价公告</w:t>
      </w:r>
    </w:p>
    <w:p w14:paraId="49524D23">
      <w:pPr>
        <w:spacing w:line="360" w:lineRule="auto"/>
        <w:ind w:firstLine="480" w:firstLineChars="200"/>
        <w:rPr>
          <w:rFonts w:ascii="Times New Roman" w:hAnsi="Times New Roman" w:cs="Times New Roman"/>
          <w:sz w:val="24"/>
          <w:szCs w:val="24"/>
          <w:shd w:val="clear" w:color="auto" w:fill="FFFFFF"/>
        </w:rPr>
      </w:pPr>
      <w:r>
        <w:rPr>
          <w:rFonts w:hint="eastAsia" w:ascii="Times New Roman" w:hAnsi="Times New Roman" w:cs="Times New Roman"/>
          <w:sz w:val="24"/>
          <w:szCs w:val="24"/>
          <w:shd w:val="clear" w:color="auto" w:fill="FFFFFF"/>
        </w:rPr>
        <w:t>启东市汇龙镇</w:t>
      </w:r>
      <w:r>
        <w:rPr>
          <w:rFonts w:hint="eastAsia" w:ascii="Times New Roman" w:hAnsi="Times New Roman" w:cs="Times New Roman"/>
          <w:sz w:val="24"/>
          <w:szCs w:val="24"/>
          <w:shd w:val="clear" w:color="auto" w:fill="FFFFFF"/>
          <w:lang w:eastAsia="zh-CN"/>
        </w:rPr>
        <w:t>临江村</w:t>
      </w:r>
      <w:r>
        <w:rPr>
          <w:rFonts w:hint="eastAsia" w:ascii="Times New Roman" w:hAnsi="Times New Roman" w:cs="Times New Roman"/>
          <w:sz w:val="24"/>
          <w:szCs w:val="24"/>
          <w:shd w:val="clear" w:color="auto" w:fill="FFFFFF"/>
        </w:rPr>
        <w:t>股份经济合作社的</w:t>
      </w:r>
      <w:r>
        <w:rPr>
          <w:rFonts w:hint="eastAsia" w:ascii="Times New Roman" w:hAnsi="Times New Roman" w:cs="Times New Roman"/>
          <w:sz w:val="24"/>
          <w:szCs w:val="24"/>
          <w:shd w:val="clear" w:color="auto" w:fill="FFFFFF"/>
          <w:lang w:eastAsia="zh-CN"/>
        </w:rPr>
        <w:t>2026年启东市汇龙镇临江村路灯更新工程</w:t>
      </w:r>
      <w:r>
        <w:rPr>
          <w:rFonts w:ascii="Times New Roman" w:hAnsi="Times New Roman" w:cs="Times New Roman"/>
          <w:sz w:val="24"/>
          <w:szCs w:val="24"/>
          <w:shd w:val="clear" w:color="auto" w:fill="FFFFFF"/>
        </w:rPr>
        <w:t>即将实施，现就</w:t>
      </w:r>
      <w:r>
        <w:rPr>
          <w:rFonts w:hint="eastAsia" w:ascii="Times New Roman" w:hAnsi="Times New Roman" w:cs="Times New Roman"/>
          <w:sz w:val="24"/>
          <w:szCs w:val="24"/>
          <w:shd w:val="clear" w:color="auto" w:fill="FFFFFF"/>
        </w:rPr>
        <w:t>该项目</w:t>
      </w:r>
      <w:r>
        <w:rPr>
          <w:rFonts w:ascii="Times New Roman" w:hAnsi="Times New Roman" w:cs="Times New Roman"/>
          <w:sz w:val="24"/>
          <w:szCs w:val="24"/>
          <w:shd w:val="clear" w:color="auto" w:fill="FFFFFF"/>
        </w:rPr>
        <w:t>进行市场询价调研。</w:t>
      </w:r>
    </w:p>
    <w:p w14:paraId="2AA47569">
      <w:pPr>
        <w:numPr>
          <w:ilvl w:val="0"/>
          <w:numId w:val="1"/>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采购内容</w:t>
      </w:r>
      <w:r>
        <w:rPr>
          <w:rFonts w:ascii="Times New Roman" w:hAnsi="Times New Roman" w:cs="Times New Roman"/>
          <w:sz w:val="24"/>
          <w:szCs w:val="24"/>
        </w:rPr>
        <w:t>：</w:t>
      </w:r>
    </w:p>
    <w:tbl>
      <w:tblPr>
        <w:tblStyle w:val="18"/>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89"/>
        <w:gridCol w:w="5481"/>
        <w:gridCol w:w="789"/>
        <w:gridCol w:w="1533"/>
      </w:tblGrid>
      <w:tr w14:paraId="6DF0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0" w:hRule="atLeast"/>
        </w:trPr>
        <w:tc>
          <w:tcPr>
            <w:tcW w:w="752" w:type="dxa"/>
            <w:vAlign w:val="center"/>
          </w:tcPr>
          <w:p w14:paraId="08E8AA3D">
            <w:pPr>
              <w:bidi w:val="0"/>
              <w:rPr>
                <w:rFonts w:hint="eastAsia" w:ascii="仿宋" w:hAnsi="仿宋" w:eastAsia="仿宋" w:cs="仿宋"/>
                <w:sz w:val="24"/>
                <w:szCs w:val="24"/>
              </w:rPr>
            </w:pPr>
            <w:bookmarkStart w:id="0" w:name="_Toc20050"/>
            <w:bookmarkStart w:id="1" w:name="_Toc421519552"/>
            <w:r>
              <w:rPr>
                <w:rFonts w:hint="eastAsia" w:ascii="仿宋" w:hAnsi="仿宋" w:eastAsia="仿宋" w:cs="仿宋"/>
                <w:sz w:val="24"/>
                <w:szCs w:val="24"/>
              </w:rPr>
              <w:t>序号</w:t>
            </w:r>
          </w:p>
        </w:tc>
        <w:tc>
          <w:tcPr>
            <w:tcW w:w="789" w:type="dxa"/>
            <w:vAlign w:val="center"/>
          </w:tcPr>
          <w:p w14:paraId="36832826">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w:t>
            </w:r>
          </w:p>
          <w:p w14:paraId="521449BA">
            <w:pPr>
              <w:bidi w:val="0"/>
              <w:jc w:val="center"/>
              <w:rPr>
                <w:rFonts w:hint="eastAsia" w:ascii="仿宋" w:hAnsi="仿宋" w:eastAsia="仿宋" w:cs="仿宋"/>
                <w:sz w:val="24"/>
                <w:szCs w:val="24"/>
              </w:rPr>
            </w:pPr>
            <w:r>
              <w:rPr>
                <w:rFonts w:hint="eastAsia" w:ascii="仿宋" w:hAnsi="仿宋" w:eastAsia="仿宋" w:cs="仿宋"/>
                <w:sz w:val="24"/>
                <w:szCs w:val="24"/>
              </w:rPr>
              <w:t>名称</w:t>
            </w:r>
          </w:p>
        </w:tc>
        <w:tc>
          <w:tcPr>
            <w:tcW w:w="5481" w:type="dxa"/>
            <w:vAlign w:val="center"/>
          </w:tcPr>
          <w:p w14:paraId="1D4FEC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参数</w:t>
            </w:r>
            <w:bookmarkStart w:id="2" w:name="_GoBack"/>
            <w:bookmarkEnd w:id="2"/>
          </w:p>
        </w:tc>
        <w:tc>
          <w:tcPr>
            <w:tcW w:w="789" w:type="dxa"/>
            <w:vAlign w:val="center"/>
          </w:tcPr>
          <w:p w14:paraId="37836F91">
            <w:pPr>
              <w:bidi w:val="0"/>
              <w:rPr>
                <w:rFonts w:hint="eastAsia" w:ascii="仿宋" w:hAnsi="仿宋" w:eastAsia="仿宋" w:cs="仿宋"/>
                <w:sz w:val="24"/>
                <w:szCs w:val="24"/>
              </w:rPr>
            </w:pPr>
            <w:r>
              <w:rPr>
                <w:rFonts w:hint="eastAsia" w:ascii="仿宋" w:hAnsi="仿宋" w:eastAsia="仿宋" w:cs="仿宋"/>
                <w:sz w:val="24"/>
                <w:szCs w:val="24"/>
              </w:rPr>
              <w:t>计量</w:t>
            </w:r>
          </w:p>
          <w:p w14:paraId="2029817B">
            <w:pPr>
              <w:bidi w:val="0"/>
              <w:rPr>
                <w:rFonts w:hint="eastAsia" w:ascii="仿宋" w:hAnsi="仿宋" w:eastAsia="仿宋" w:cs="仿宋"/>
                <w:sz w:val="24"/>
                <w:szCs w:val="24"/>
              </w:rPr>
            </w:pPr>
            <w:r>
              <w:rPr>
                <w:rFonts w:hint="eastAsia" w:ascii="仿宋" w:hAnsi="仿宋" w:eastAsia="仿宋" w:cs="仿宋"/>
                <w:sz w:val="24"/>
                <w:szCs w:val="24"/>
                <w:lang w:eastAsia="zh-CN"/>
              </w:rPr>
              <w:t>单</w:t>
            </w:r>
            <w:r>
              <w:rPr>
                <w:rFonts w:hint="eastAsia" w:ascii="仿宋" w:hAnsi="仿宋" w:eastAsia="仿宋" w:cs="仿宋"/>
                <w:sz w:val="24"/>
                <w:szCs w:val="24"/>
              </w:rPr>
              <w:t>位</w:t>
            </w:r>
          </w:p>
        </w:tc>
        <w:tc>
          <w:tcPr>
            <w:tcW w:w="1533" w:type="dxa"/>
            <w:vAlign w:val="center"/>
          </w:tcPr>
          <w:p w14:paraId="0F6954E1">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预估</w:t>
            </w:r>
          </w:p>
          <w:p w14:paraId="69B79F5C">
            <w:pPr>
              <w:bidi w:val="0"/>
              <w:jc w:val="center"/>
              <w:rPr>
                <w:rFonts w:hint="eastAsia" w:ascii="仿宋" w:hAnsi="仿宋" w:eastAsia="仿宋" w:cs="仿宋"/>
                <w:sz w:val="24"/>
                <w:szCs w:val="24"/>
              </w:rPr>
            </w:pPr>
            <w:r>
              <w:rPr>
                <w:rFonts w:hint="eastAsia" w:ascii="仿宋" w:hAnsi="仿宋" w:eastAsia="仿宋" w:cs="仿宋"/>
                <w:sz w:val="24"/>
                <w:szCs w:val="24"/>
              </w:rPr>
              <w:t>数量</w:t>
            </w:r>
          </w:p>
        </w:tc>
      </w:tr>
      <w:tr w14:paraId="3F0E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51" w:hRule="atLeast"/>
        </w:trPr>
        <w:tc>
          <w:tcPr>
            <w:tcW w:w="752" w:type="dxa"/>
            <w:shd w:val="clear" w:color="auto" w:fill="auto"/>
            <w:vAlign w:val="center"/>
          </w:tcPr>
          <w:p w14:paraId="13490561">
            <w:pPr>
              <w:widowControl/>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1</w:t>
            </w:r>
          </w:p>
        </w:tc>
        <w:tc>
          <w:tcPr>
            <w:tcW w:w="789" w:type="dxa"/>
            <w:shd w:val="clear" w:color="auto" w:fill="auto"/>
            <w:vAlign w:val="center"/>
          </w:tcPr>
          <w:p w14:paraId="7ED01148">
            <w:pPr>
              <w:widowControl/>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拆除</w:t>
            </w:r>
          </w:p>
        </w:tc>
        <w:tc>
          <w:tcPr>
            <w:tcW w:w="5481" w:type="dxa"/>
            <w:shd w:val="clear" w:color="auto" w:fill="auto"/>
            <w:vAlign w:val="center"/>
          </w:tcPr>
          <w:p w14:paraId="3F00B334">
            <w:pPr>
              <w:widowControl/>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1、原有路灯及配线等附件全部拆除（具体以采购</w:t>
            </w:r>
            <w:r>
              <w:rPr>
                <w:rFonts w:hint="eastAsia" w:ascii="仿宋" w:hAnsi="仿宋" w:eastAsia="仿宋" w:cs="仿宋"/>
                <w:color w:val="000000"/>
                <w:kern w:val="0"/>
                <w:sz w:val="24"/>
                <w:szCs w:val="24"/>
                <w:highlight w:val="none"/>
                <w:lang w:val="en-US" w:eastAsia="zh-CN" w:bidi="ar"/>
              </w:rPr>
              <w:t>单位</w:t>
            </w:r>
            <w:r>
              <w:rPr>
                <w:rFonts w:hint="eastAsia" w:ascii="仿宋" w:hAnsi="仿宋" w:eastAsia="仿宋" w:cs="仿宋"/>
                <w:color w:val="000000"/>
                <w:kern w:val="0"/>
                <w:sz w:val="24"/>
                <w:szCs w:val="24"/>
                <w:highlight w:val="none"/>
                <w:lang w:bidi="ar"/>
              </w:rPr>
              <w:t>要求为准）。</w:t>
            </w:r>
          </w:p>
          <w:p w14:paraId="43C2F1F2">
            <w:pPr>
              <w:widowControl/>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2、拆除后按采购</w:t>
            </w:r>
            <w:r>
              <w:rPr>
                <w:rFonts w:hint="eastAsia" w:ascii="仿宋" w:hAnsi="仿宋" w:eastAsia="仿宋" w:cs="仿宋"/>
                <w:color w:val="000000"/>
                <w:kern w:val="0"/>
                <w:sz w:val="24"/>
                <w:szCs w:val="24"/>
                <w:highlight w:val="none"/>
                <w:lang w:val="en-US" w:eastAsia="zh-CN" w:bidi="ar"/>
              </w:rPr>
              <w:t>单位</w:t>
            </w:r>
            <w:r>
              <w:rPr>
                <w:rFonts w:hint="eastAsia" w:ascii="仿宋" w:hAnsi="仿宋" w:eastAsia="仿宋" w:cs="仿宋"/>
                <w:color w:val="000000"/>
                <w:kern w:val="0"/>
                <w:sz w:val="24"/>
                <w:szCs w:val="24"/>
                <w:highlight w:val="none"/>
                <w:lang w:bidi="ar"/>
              </w:rPr>
              <w:t>要求在指定位置堆放整齐。</w:t>
            </w:r>
          </w:p>
          <w:p w14:paraId="20205274">
            <w:pPr>
              <w:widowControl/>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3、拆</w:t>
            </w:r>
            <w:r>
              <w:rPr>
                <w:rFonts w:hint="eastAsia" w:ascii="仿宋" w:hAnsi="仿宋" w:eastAsia="仿宋" w:cs="仿宋"/>
                <w:color w:val="000000"/>
                <w:kern w:val="0"/>
                <w:sz w:val="24"/>
                <w:szCs w:val="24"/>
                <w:highlight w:val="none"/>
                <w:lang w:val="en-US" w:eastAsia="zh-CN" w:bidi="ar"/>
              </w:rPr>
              <w:t>除</w:t>
            </w:r>
            <w:r>
              <w:rPr>
                <w:rFonts w:hint="eastAsia" w:ascii="仿宋" w:hAnsi="仿宋" w:eastAsia="仿宋" w:cs="仿宋"/>
                <w:color w:val="000000"/>
                <w:kern w:val="0"/>
                <w:sz w:val="24"/>
                <w:szCs w:val="24"/>
                <w:highlight w:val="none"/>
                <w:lang w:bidi="ar"/>
              </w:rPr>
              <w:t>的灯及配线等附件全部归采购</w:t>
            </w:r>
            <w:r>
              <w:rPr>
                <w:rFonts w:hint="eastAsia" w:ascii="仿宋" w:hAnsi="仿宋" w:eastAsia="仿宋" w:cs="仿宋"/>
                <w:color w:val="000000"/>
                <w:kern w:val="0"/>
                <w:sz w:val="24"/>
                <w:szCs w:val="24"/>
                <w:highlight w:val="none"/>
                <w:lang w:val="en-US" w:eastAsia="zh-CN" w:bidi="ar"/>
              </w:rPr>
              <w:t>单位</w:t>
            </w:r>
            <w:r>
              <w:rPr>
                <w:rFonts w:hint="eastAsia" w:ascii="仿宋" w:hAnsi="仿宋" w:eastAsia="仿宋" w:cs="仿宋"/>
                <w:color w:val="000000"/>
                <w:kern w:val="0"/>
                <w:sz w:val="24"/>
                <w:szCs w:val="24"/>
                <w:highlight w:val="none"/>
                <w:lang w:bidi="ar"/>
              </w:rPr>
              <w:t>所有。</w:t>
            </w:r>
          </w:p>
        </w:tc>
        <w:tc>
          <w:tcPr>
            <w:tcW w:w="789" w:type="dxa"/>
            <w:shd w:val="clear" w:color="auto" w:fill="auto"/>
            <w:vAlign w:val="center"/>
          </w:tcPr>
          <w:p w14:paraId="46D8CBB9">
            <w:pPr>
              <w:widowControl/>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项</w:t>
            </w:r>
          </w:p>
        </w:tc>
        <w:tc>
          <w:tcPr>
            <w:tcW w:w="1533" w:type="dxa"/>
            <w:shd w:val="clear" w:color="auto" w:fill="auto"/>
            <w:vAlign w:val="center"/>
          </w:tcPr>
          <w:p w14:paraId="7AD5D013">
            <w:pPr>
              <w:widowControl/>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r>
      <w:tr w14:paraId="4224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94" w:hRule="atLeast"/>
        </w:trPr>
        <w:tc>
          <w:tcPr>
            <w:tcW w:w="752" w:type="dxa"/>
            <w:vMerge w:val="restart"/>
            <w:vAlign w:val="center"/>
          </w:tcPr>
          <w:p w14:paraId="107E9BBA">
            <w:pPr>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789" w:type="dxa"/>
            <w:vMerge w:val="restart"/>
            <w:vAlign w:val="center"/>
          </w:tcPr>
          <w:p w14:paraId="7A7FF249">
            <w:pPr>
              <w:rPr>
                <w:rFonts w:hint="eastAsia" w:ascii="仿宋" w:hAnsi="仿宋" w:eastAsia="仿宋" w:cs="仿宋"/>
                <w:sz w:val="24"/>
                <w:szCs w:val="24"/>
                <w:highlight w:val="none"/>
              </w:rPr>
            </w:pPr>
            <w:r>
              <w:rPr>
                <w:rFonts w:hint="eastAsia" w:ascii="仿宋" w:hAnsi="仿宋" w:eastAsia="仿宋" w:cs="仿宋"/>
                <w:sz w:val="24"/>
                <w:szCs w:val="24"/>
                <w:lang w:val="en-US" w:eastAsia="zh-CN"/>
              </w:rPr>
              <w:t>立柱式太阳能路 灯</w:t>
            </w:r>
          </w:p>
        </w:tc>
        <w:tc>
          <w:tcPr>
            <w:tcW w:w="5481" w:type="dxa"/>
            <w:vMerge w:val="restart"/>
            <w:vAlign w:val="center"/>
          </w:tcPr>
          <w:p w14:paraId="1030E348">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1、灯杆： </w:t>
            </w:r>
          </w:p>
          <w:p w14:paraId="3C389810">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灯杆高5米，材质为Q235,主杆上口径60mm，下口径140mm，壁厚2.5mm。出臂1米。 </w:t>
            </w:r>
          </w:p>
          <w:p w14:paraId="1E3D38F6">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2、灯头： </w:t>
            </w:r>
          </w:p>
          <w:p w14:paraId="0338B712">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▲光源功率 60W(±1W)。 </w:t>
            </w:r>
          </w:p>
          <w:p w14:paraId="6792C39B">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▲显色指数＞80。 </w:t>
            </w:r>
          </w:p>
          <w:p w14:paraId="20B2E0F6">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▲色温6500K(±100K)。 </w:t>
            </w:r>
          </w:p>
          <w:p w14:paraId="223D0CD3">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▲灯具尺寸：520*205*95mm。 </w:t>
            </w:r>
          </w:p>
          <w:p w14:paraId="0E2226B9">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▲防护等级IP65。 </w:t>
            </w:r>
          </w:p>
          <w:p w14:paraId="0989C51D">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▲符合 GB7000.203（GB7000.1）标准耐久性和热试验。 </w:t>
            </w:r>
          </w:p>
          <w:p w14:paraId="504AFDBC">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外壳采用全铝压铸、全密封构、外表 光滑，灯具结构设计合理、强度高。平均寿命＞50000小时。光衰＜3%，性能稳定。 </w:t>
            </w:r>
          </w:p>
          <w:p w14:paraId="6CED47E7">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3、太阳能光伏板： </w:t>
            </w:r>
          </w:p>
          <w:p w14:paraId="3F4D3A29">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▲功率≥100W（+5%内）。 </w:t>
            </w:r>
          </w:p>
          <w:p w14:paraId="17AD226D">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多晶硅，转换率＞18%，4时段控制功能。可变功率，有过充过放及防反接功能，平均寿命≥10年。 </w:t>
            </w:r>
          </w:p>
          <w:p w14:paraId="5A330C3B">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4、太阳能专用锂电池： </w:t>
            </w:r>
          </w:p>
          <w:p w14:paraId="0524D2A3">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▲额定容量≥50AH（+5%内）。 </w:t>
            </w:r>
          </w:p>
          <w:p w14:paraId="7FD33596">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灯头内置，寿命≥10年。 </w:t>
            </w:r>
          </w:p>
          <w:p w14:paraId="482BE219">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亮灯时间：12小时。 </w:t>
            </w:r>
          </w:p>
          <w:p w14:paraId="69A8D058">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5、基础：500*500*800mm（最终以灯具厂家尺寸为准）。</w:t>
            </w:r>
          </w:p>
        </w:tc>
        <w:tc>
          <w:tcPr>
            <w:tcW w:w="789" w:type="dxa"/>
            <w:vMerge w:val="restart"/>
            <w:vAlign w:val="center"/>
          </w:tcPr>
          <w:p w14:paraId="217E714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1533" w:type="dxa"/>
            <w:vAlign w:val="center"/>
          </w:tcPr>
          <w:p w14:paraId="226F9E0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临河路东侧</w:t>
            </w:r>
          </w:p>
          <w:p w14:paraId="269DFA1A">
            <w:pPr>
              <w:ind w:firstLine="120" w:firstLineChars="5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r>
      <w:tr w14:paraId="54D3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03" w:hRule="atLeast"/>
        </w:trPr>
        <w:tc>
          <w:tcPr>
            <w:tcW w:w="752" w:type="dxa"/>
            <w:vMerge w:val="continue"/>
            <w:vAlign w:val="center"/>
          </w:tcPr>
          <w:p w14:paraId="62B71304">
            <w:pPr>
              <w:ind w:firstLine="240" w:firstLineChars="100"/>
              <w:rPr>
                <w:rFonts w:hint="eastAsia" w:ascii="仿宋" w:hAnsi="仿宋" w:eastAsia="仿宋" w:cs="仿宋"/>
                <w:sz w:val="24"/>
                <w:szCs w:val="24"/>
                <w:highlight w:val="none"/>
              </w:rPr>
            </w:pPr>
          </w:p>
        </w:tc>
        <w:tc>
          <w:tcPr>
            <w:tcW w:w="789" w:type="dxa"/>
            <w:vMerge w:val="continue"/>
            <w:vAlign w:val="center"/>
          </w:tcPr>
          <w:p w14:paraId="755BD2D2">
            <w:pPr>
              <w:rPr>
                <w:rFonts w:hint="eastAsia" w:ascii="仿宋" w:hAnsi="仿宋" w:eastAsia="仿宋" w:cs="仿宋"/>
                <w:sz w:val="24"/>
                <w:szCs w:val="24"/>
                <w:lang w:val="en-US" w:eastAsia="zh-CN"/>
              </w:rPr>
            </w:pPr>
          </w:p>
        </w:tc>
        <w:tc>
          <w:tcPr>
            <w:tcW w:w="5481" w:type="dxa"/>
            <w:vMerge w:val="continue"/>
            <w:vAlign w:val="center"/>
          </w:tcPr>
          <w:p w14:paraId="5F93848D">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5613E480">
            <w:pPr>
              <w:jc w:val="center"/>
              <w:rPr>
                <w:rFonts w:hint="eastAsia" w:ascii="仿宋" w:hAnsi="仿宋" w:eastAsia="仿宋" w:cs="仿宋"/>
                <w:sz w:val="24"/>
                <w:szCs w:val="24"/>
                <w:highlight w:val="none"/>
              </w:rPr>
            </w:pPr>
          </w:p>
        </w:tc>
        <w:tc>
          <w:tcPr>
            <w:tcW w:w="1533" w:type="dxa"/>
            <w:vAlign w:val="center"/>
          </w:tcPr>
          <w:p w14:paraId="358FEEA4">
            <w:pPr>
              <w:ind w:firstLine="120" w:firstLineChars="5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村委会广场</w:t>
            </w:r>
          </w:p>
          <w:p w14:paraId="21873D75">
            <w:pPr>
              <w:pStyle w:val="2"/>
              <w:jc w:val="center"/>
              <w:rPr>
                <w:rFonts w:hint="default"/>
                <w:lang w:val="en-US" w:eastAsia="zh-CN"/>
              </w:rPr>
            </w:pPr>
            <w:r>
              <w:rPr>
                <w:rFonts w:hint="eastAsia" w:ascii="仿宋" w:hAnsi="仿宋" w:eastAsia="仿宋" w:cs="仿宋"/>
                <w:sz w:val="24"/>
                <w:szCs w:val="24"/>
                <w:highlight w:val="none"/>
                <w:lang w:val="en-US" w:eastAsia="zh-CN"/>
              </w:rPr>
              <w:t>4</w:t>
            </w:r>
          </w:p>
        </w:tc>
      </w:tr>
      <w:tr w14:paraId="0B99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restart"/>
            <w:tcBorders>
              <w:top w:val="nil"/>
            </w:tcBorders>
            <w:vAlign w:val="center"/>
          </w:tcPr>
          <w:p w14:paraId="2BF9EFF0">
            <w:pPr>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789" w:type="dxa"/>
            <w:vMerge w:val="restart"/>
            <w:vAlign w:val="center"/>
          </w:tcPr>
          <w:p w14:paraId="22FC902F">
            <w:pPr>
              <w:rPr>
                <w:rFonts w:hint="eastAsia" w:ascii="仿宋" w:hAnsi="仿宋" w:eastAsia="仿宋" w:cs="仿宋"/>
                <w:sz w:val="24"/>
                <w:szCs w:val="24"/>
                <w:highlight w:val="none"/>
              </w:rPr>
            </w:pPr>
            <w:r>
              <w:rPr>
                <w:rFonts w:hint="eastAsia" w:ascii="仿宋" w:hAnsi="仿宋" w:eastAsia="仿宋" w:cs="仿宋"/>
                <w:sz w:val="24"/>
                <w:szCs w:val="24"/>
                <w:highlight w:val="none"/>
              </w:rPr>
              <w:t>单臂悬挑太阳能路灯</w:t>
            </w:r>
          </w:p>
        </w:tc>
        <w:tc>
          <w:tcPr>
            <w:tcW w:w="5481" w:type="dxa"/>
            <w:vMerge w:val="restart"/>
            <w:vAlign w:val="center"/>
          </w:tcPr>
          <w:p w14:paraId="5FB92824">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1、灯臂： </w:t>
            </w:r>
          </w:p>
          <w:p w14:paraId="13349C7A">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壁厚≥2.3mm，壁长1m，材质为Q235。底部焊接固定底座；整体热镀锌，静电喷塑防腐处理，含太阳能支架、抱箍、配件等。 </w:t>
            </w:r>
          </w:p>
          <w:p w14:paraId="0B5C3F0C">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2、灯头： </w:t>
            </w:r>
          </w:p>
          <w:p w14:paraId="4EE59DAB">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▲光源功率 60W(±1W)。 </w:t>
            </w:r>
          </w:p>
          <w:p w14:paraId="5C2F0C9F">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▲显色指数＞80。 </w:t>
            </w:r>
          </w:p>
          <w:p w14:paraId="2B3A9380">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▲色温6500K(±100K)。 </w:t>
            </w:r>
          </w:p>
          <w:p w14:paraId="42E8E1E1">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▲灯具尺寸：520*205*95mm。 </w:t>
            </w:r>
          </w:p>
          <w:p w14:paraId="483EA73A">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▲防护等级IP65。 </w:t>
            </w:r>
          </w:p>
          <w:p w14:paraId="2F49F57B">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▲符合 GB7000.203（GB7000.1）标准耐久性和热试验。 </w:t>
            </w:r>
          </w:p>
          <w:p w14:paraId="269F964D">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外壳采用全铝压铸、全密封构、外表 光滑，灯具结构设计合理、强度高。平均寿命＞50000小时。光衰＜3%，性能稳定。 </w:t>
            </w:r>
          </w:p>
          <w:p w14:paraId="61A2166F">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3、太阳能光伏板： </w:t>
            </w:r>
          </w:p>
          <w:p w14:paraId="2A5DBBCA">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▲功率≥100W（+5%内）。 </w:t>
            </w:r>
          </w:p>
          <w:p w14:paraId="31BD5790">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多晶硅，转换率＞18%，4时段控制功能。可变功率，有过充过放及防反接功能，平均寿命≥10年。 </w:t>
            </w:r>
          </w:p>
          <w:p w14:paraId="3D60F681">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4、太阳能专用锂电池： </w:t>
            </w:r>
          </w:p>
          <w:p w14:paraId="32E54310">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▲额定容量≥50AH（+5%内）。 </w:t>
            </w:r>
          </w:p>
          <w:p w14:paraId="27DCE594">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灯头内置，寿命≥10年。 </w:t>
            </w:r>
          </w:p>
          <w:p w14:paraId="696F6AB9">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亮灯时间：12小时。</w:t>
            </w:r>
          </w:p>
        </w:tc>
        <w:tc>
          <w:tcPr>
            <w:tcW w:w="789" w:type="dxa"/>
            <w:vMerge w:val="restart"/>
            <w:vAlign w:val="center"/>
          </w:tcPr>
          <w:p w14:paraId="311EBE2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1533" w:type="dxa"/>
            <w:vAlign w:val="center"/>
          </w:tcPr>
          <w:p w14:paraId="02E80A2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惠临南路</w:t>
            </w:r>
          </w:p>
          <w:p w14:paraId="2FDDF1E1">
            <w:pPr>
              <w:pStyle w:val="2"/>
              <w:jc w:val="center"/>
              <w:rPr>
                <w:rFonts w:hint="default"/>
                <w:lang w:val="en-US" w:eastAsia="zh-CN"/>
              </w:rPr>
            </w:pPr>
            <w:r>
              <w:rPr>
                <w:rFonts w:hint="eastAsia" w:ascii="仿宋" w:hAnsi="仿宋" w:eastAsia="仿宋" w:cs="仿宋"/>
                <w:sz w:val="24"/>
                <w:szCs w:val="24"/>
                <w:highlight w:val="none"/>
                <w:lang w:val="en-US" w:eastAsia="zh-CN"/>
              </w:rPr>
              <w:t>27</w:t>
            </w:r>
          </w:p>
        </w:tc>
      </w:tr>
      <w:tr w14:paraId="43F9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3F220D52">
            <w:pPr>
              <w:ind w:firstLine="240" w:firstLineChars="100"/>
              <w:rPr>
                <w:rFonts w:hint="eastAsia" w:ascii="仿宋" w:hAnsi="仿宋" w:eastAsia="仿宋" w:cs="仿宋"/>
                <w:sz w:val="24"/>
                <w:szCs w:val="24"/>
                <w:highlight w:val="none"/>
              </w:rPr>
            </w:pPr>
          </w:p>
        </w:tc>
        <w:tc>
          <w:tcPr>
            <w:tcW w:w="789" w:type="dxa"/>
            <w:vMerge w:val="continue"/>
            <w:vAlign w:val="center"/>
          </w:tcPr>
          <w:p w14:paraId="38C78FDD">
            <w:pPr>
              <w:rPr>
                <w:rFonts w:hint="eastAsia" w:ascii="仿宋" w:hAnsi="仿宋" w:eastAsia="仿宋" w:cs="仿宋"/>
                <w:sz w:val="24"/>
                <w:szCs w:val="24"/>
                <w:highlight w:val="none"/>
              </w:rPr>
            </w:pPr>
          </w:p>
        </w:tc>
        <w:tc>
          <w:tcPr>
            <w:tcW w:w="5481" w:type="dxa"/>
            <w:vMerge w:val="continue"/>
            <w:vAlign w:val="center"/>
          </w:tcPr>
          <w:p w14:paraId="520B77A1">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26AA1F83">
            <w:pPr>
              <w:jc w:val="center"/>
              <w:rPr>
                <w:rFonts w:hint="eastAsia" w:ascii="仿宋" w:hAnsi="仿宋" w:eastAsia="仿宋" w:cs="仿宋"/>
                <w:sz w:val="24"/>
                <w:szCs w:val="24"/>
                <w:highlight w:val="none"/>
              </w:rPr>
            </w:pPr>
          </w:p>
        </w:tc>
        <w:tc>
          <w:tcPr>
            <w:tcW w:w="1533" w:type="dxa"/>
            <w:vAlign w:val="center"/>
          </w:tcPr>
          <w:p w14:paraId="7E664DC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临民路</w:t>
            </w:r>
          </w:p>
          <w:p w14:paraId="4D87CE24">
            <w:pPr>
              <w:pStyle w:val="2"/>
              <w:jc w:val="center"/>
              <w:rPr>
                <w:rFonts w:hint="default"/>
                <w:lang w:val="en-US" w:eastAsia="zh-CN"/>
              </w:rPr>
            </w:pPr>
            <w:r>
              <w:rPr>
                <w:rFonts w:hint="eastAsia" w:ascii="仿宋" w:hAnsi="仿宋" w:eastAsia="仿宋" w:cs="仿宋"/>
                <w:sz w:val="24"/>
                <w:szCs w:val="24"/>
                <w:highlight w:val="none"/>
                <w:lang w:val="en-US" w:eastAsia="zh-CN"/>
              </w:rPr>
              <w:t>26</w:t>
            </w:r>
          </w:p>
        </w:tc>
      </w:tr>
      <w:tr w14:paraId="3C2D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27C088D2">
            <w:pPr>
              <w:ind w:firstLine="240" w:firstLineChars="100"/>
              <w:rPr>
                <w:rFonts w:hint="eastAsia" w:ascii="仿宋" w:hAnsi="仿宋" w:eastAsia="仿宋" w:cs="仿宋"/>
                <w:sz w:val="24"/>
                <w:szCs w:val="24"/>
                <w:highlight w:val="none"/>
              </w:rPr>
            </w:pPr>
          </w:p>
        </w:tc>
        <w:tc>
          <w:tcPr>
            <w:tcW w:w="789" w:type="dxa"/>
            <w:vMerge w:val="continue"/>
            <w:vAlign w:val="center"/>
          </w:tcPr>
          <w:p w14:paraId="15FEC3D6">
            <w:pPr>
              <w:rPr>
                <w:rFonts w:hint="eastAsia" w:ascii="仿宋" w:hAnsi="仿宋" w:eastAsia="仿宋" w:cs="仿宋"/>
                <w:sz w:val="24"/>
                <w:szCs w:val="24"/>
                <w:highlight w:val="none"/>
              </w:rPr>
            </w:pPr>
          </w:p>
        </w:tc>
        <w:tc>
          <w:tcPr>
            <w:tcW w:w="5481" w:type="dxa"/>
            <w:vMerge w:val="continue"/>
            <w:vAlign w:val="center"/>
          </w:tcPr>
          <w:p w14:paraId="3B1578E5">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59F4D7DC">
            <w:pPr>
              <w:jc w:val="center"/>
              <w:rPr>
                <w:rFonts w:hint="eastAsia" w:ascii="仿宋" w:hAnsi="仿宋" w:eastAsia="仿宋" w:cs="仿宋"/>
                <w:sz w:val="24"/>
                <w:szCs w:val="24"/>
                <w:highlight w:val="none"/>
              </w:rPr>
            </w:pPr>
          </w:p>
        </w:tc>
        <w:tc>
          <w:tcPr>
            <w:tcW w:w="1533" w:type="dxa"/>
            <w:vAlign w:val="center"/>
          </w:tcPr>
          <w:p w14:paraId="2626D48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临新路</w:t>
            </w:r>
          </w:p>
          <w:p w14:paraId="5E36806A">
            <w:pPr>
              <w:pStyle w:val="2"/>
              <w:jc w:val="center"/>
              <w:rPr>
                <w:rFonts w:hint="default"/>
                <w:lang w:val="en-US" w:eastAsia="zh-CN"/>
              </w:rPr>
            </w:pPr>
            <w:r>
              <w:rPr>
                <w:rFonts w:hint="eastAsia" w:ascii="仿宋" w:hAnsi="仿宋" w:eastAsia="仿宋" w:cs="仿宋"/>
                <w:sz w:val="24"/>
                <w:szCs w:val="24"/>
                <w:highlight w:val="none"/>
                <w:lang w:val="en-US" w:eastAsia="zh-CN"/>
              </w:rPr>
              <w:t>25</w:t>
            </w:r>
          </w:p>
        </w:tc>
      </w:tr>
      <w:tr w14:paraId="0506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2A4025B3">
            <w:pPr>
              <w:ind w:firstLine="240" w:firstLineChars="100"/>
              <w:rPr>
                <w:rFonts w:hint="eastAsia" w:ascii="仿宋" w:hAnsi="仿宋" w:eastAsia="仿宋" w:cs="仿宋"/>
                <w:sz w:val="24"/>
                <w:szCs w:val="24"/>
                <w:highlight w:val="none"/>
              </w:rPr>
            </w:pPr>
          </w:p>
        </w:tc>
        <w:tc>
          <w:tcPr>
            <w:tcW w:w="789" w:type="dxa"/>
            <w:vMerge w:val="continue"/>
            <w:vAlign w:val="center"/>
          </w:tcPr>
          <w:p w14:paraId="2506E5B9">
            <w:pPr>
              <w:rPr>
                <w:rFonts w:hint="eastAsia" w:ascii="仿宋" w:hAnsi="仿宋" w:eastAsia="仿宋" w:cs="仿宋"/>
                <w:sz w:val="24"/>
                <w:szCs w:val="24"/>
                <w:highlight w:val="none"/>
              </w:rPr>
            </w:pPr>
          </w:p>
        </w:tc>
        <w:tc>
          <w:tcPr>
            <w:tcW w:w="5481" w:type="dxa"/>
            <w:vMerge w:val="continue"/>
            <w:vAlign w:val="center"/>
          </w:tcPr>
          <w:p w14:paraId="4B10E0BD">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72F9D3E7">
            <w:pPr>
              <w:jc w:val="center"/>
              <w:rPr>
                <w:rFonts w:hint="eastAsia" w:ascii="仿宋" w:hAnsi="仿宋" w:eastAsia="仿宋" w:cs="仿宋"/>
                <w:sz w:val="24"/>
                <w:szCs w:val="24"/>
                <w:highlight w:val="none"/>
              </w:rPr>
            </w:pPr>
          </w:p>
        </w:tc>
        <w:tc>
          <w:tcPr>
            <w:tcW w:w="1533" w:type="dxa"/>
            <w:vAlign w:val="center"/>
          </w:tcPr>
          <w:p w14:paraId="2F78BBB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临河路</w:t>
            </w:r>
          </w:p>
          <w:p w14:paraId="2191339D">
            <w:pPr>
              <w:pStyle w:val="2"/>
              <w:jc w:val="center"/>
              <w:rPr>
                <w:rFonts w:hint="default"/>
                <w:lang w:val="en-US" w:eastAsia="zh-CN"/>
              </w:rPr>
            </w:pPr>
            <w:r>
              <w:rPr>
                <w:rFonts w:hint="eastAsia" w:ascii="仿宋" w:hAnsi="仿宋" w:eastAsia="仿宋" w:cs="仿宋"/>
                <w:sz w:val="24"/>
                <w:szCs w:val="24"/>
                <w:highlight w:val="none"/>
                <w:lang w:val="en-US" w:eastAsia="zh-CN"/>
              </w:rPr>
              <w:t>27</w:t>
            </w:r>
          </w:p>
        </w:tc>
      </w:tr>
      <w:tr w14:paraId="1791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4859DAAC">
            <w:pPr>
              <w:ind w:firstLine="240" w:firstLineChars="100"/>
              <w:rPr>
                <w:rFonts w:hint="eastAsia" w:ascii="仿宋" w:hAnsi="仿宋" w:eastAsia="仿宋" w:cs="仿宋"/>
                <w:sz w:val="24"/>
                <w:szCs w:val="24"/>
                <w:highlight w:val="none"/>
              </w:rPr>
            </w:pPr>
          </w:p>
        </w:tc>
        <w:tc>
          <w:tcPr>
            <w:tcW w:w="789" w:type="dxa"/>
            <w:vMerge w:val="continue"/>
            <w:vAlign w:val="center"/>
          </w:tcPr>
          <w:p w14:paraId="696E18F6">
            <w:pPr>
              <w:rPr>
                <w:rFonts w:hint="eastAsia" w:ascii="仿宋" w:hAnsi="仿宋" w:eastAsia="仿宋" w:cs="仿宋"/>
                <w:sz w:val="24"/>
                <w:szCs w:val="24"/>
                <w:highlight w:val="none"/>
              </w:rPr>
            </w:pPr>
          </w:p>
        </w:tc>
        <w:tc>
          <w:tcPr>
            <w:tcW w:w="5481" w:type="dxa"/>
            <w:vMerge w:val="continue"/>
            <w:vAlign w:val="center"/>
          </w:tcPr>
          <w:p w14:paraId="07CEAE03">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462D6CD2">
            <w:pPr>
              <w:jc w:val="center"/>
              <w:rPr>
                <w:rFonts w:hint="eastAsia" w:ascii="仿宋" w:hAnsi="仿宋" w:eastAsia="仿宋" w:cs="仿宋"/>
                <w:sz w:val="24"/>
                <w:szCs w:val="24"/>
                <w:highlight w:val="none"/>
              </w:rPr>
            </w:pPr>
          </w:p>
        </w:tc>
        <w:tc>
          <w:tcPr>
            <w:tcW w:w="1533" w:type="dxa"/>
            <w:vAlign w:val="center"/>
          </w:tcPr>
          <w:p w14:paraId="73F720A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惠临路</w:t>
            </w:r>
          </w:p>
          <w:p w14:paraId="044570F3">
            <w:pPr>
              <w:pStyle w:val="2"/>
              <w:jc w:val="center"/>
              <w:rPr>
                <w:rFonts w:hint="default"/>
                <w:lang w:val="en-US" w:eastAsia="zh-CN"/>
              </w:rPr>
            </w:pPr>
            <w:r>
              <w:rPr>
                <w:rFonts w:hint="eastAsia" w:ascii="仿宋" w:hAnsi="仿宋" w:eastAsia="仿宋" w:cs="仿宋"/>
                <w:sz w:val="24"/>
                <w:szCs w:val="24"/>
                <w:highlight w:val="none"/>
                <w:lang w:val="en-US" w:eastAsia="zh-CN"/>
              </w:rPr>
              <w:t>25</w:t>
            </w:r>
          </w:p>
        </w:tc>
      </w:tr>
      <w:tr w14:paraId="026A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70077BBE">
            <w:pPr>
              <w:ind w:firstLine="240" w:firstLineChars="100"/>
              <w:rPr>
                <w:rFonts w:hint="eastAsia" w:ascii="仿宋" w:hAnsi="仿宋" w:eastAsia="仿宋" w:cs="仿宋"/>
                <w:sz w:val="24"/>
                <w:szCs w:val="24"/>
                <w:highlight w:val="none"/>
              </w:rPr>
            </w:pPr>
          </w:p>
        </w:tc>
        <w:tc>
          <w:tcPr>
            <w:tcW w:w="789" w:type="dxa"/>
            <w:vMerge w:val="continue"/>
            <w:vAlign w:val="center"/>
          </w:tcPr>
          <w:p w14:paraId="647910A2">
            <w:pPr>
              <w:rPr>
                <w:rFonts w:hint="eastAsia" w:ascii="仿宋" w:hAnsi="仿宋" w:eastAsia="仿宋" w:cs="仿宋"/>
                <w:sz w:val="24"/>
                <w:szCs w:val="24"/>
                <w:highlight w:val="none"/>
              </w:rPr>
            </w:pPr>
          </w:p>
        </w:tc>
        <w:tc>
          <w:tcPr>
            <w:tcW w:w="5481" w:type="dxa"/>
            <w:vMerge w:val="continue"/>
            <w:vAlign w:val="center"/>
          </w:tcPr>
          <w:p w14:paraId="52465842">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5DA58108">
            <w:pPr>
              <w:jc w:val="center"/>
              <w:rPr>
                <w:rFonts w:hint="eastAsia" w:ascii="仿宋" w:hAnsi="仿宋" w:eastAsia="仿宋" w:cs="仿宋"/>
                <w:sz w:val="24"/>
                <w:szCs w:val="24"/>
                <w:highlight w:val="none"/>
              </w:rPr>
            </w:pPr>
          </w:p>
        </w:tc>
        <w:tc>
          <w:tcPr>
            <w:tcW w:w="1533" w:type="dxa"/>
            <w:vAlign w:val="center"/>
          </w:tcPr>
          <w:p w14:paraId="22C28D5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惠临北路</w:t>
            </w:r>
          </w:p>
          <w:p w14:paraId="70D703EE">
            <w:pPr>
              <w:pStyle w:val="2"/>
              <w:jc w:val="center"/>
              <w:rPr>
                <w:rFonts w:hint="default"/>
                <w:lang w:val="en-US" w:eastAsia="zh-CN"/>
              </w:rPr>
            </w:pPr>
            <w:r>
              <w:rPr>
                <w:rFonts w:hint="eastAsia" w:ascii="仿宋" w:hAnsi="仿宋" w:eastAsia="仿宋" w:cs="仿宋"/>
                <w:sz w:val="24"/>
                <w:szCs w:val="24"/>
                <w:highlight w:val="none"/>
                <w:lang w:val="en-US" w:eastAsia="zh-CN"/>
              </w:rPr>
              <w:t>28</w:t>
            </w:r>
          </w:p>
        </w:tc>
      </w:tr>
      <w:tr w14:paraId="0FE4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2444A8FA">
            <w:pPr>
              <w:ind w:firstLine="240" w:firstLineChars="100"/>
              <w:rPr>
                <w:rFonts w:hint="eastAsia" w:ascii="仿宋" w:hAnsi="仿宋" w:eastAsia="仿宋" w:cs="仿宋"/>
                <w:sz w:val="24"/>
                <w:szCs w:val="24"/>
                <w:highlight w:val="none"/>
              </w:rPr>
            </w:pPr>
          </w:p>
        </w:tc>
        <w:tc>
          <w:tcPr>
            <w:tcW w:w="789" w:type="dxa"/>
            <w:vMerge w:val="continue"/>
            <w:vAlign w:val="center"/>
          </w:tcPr>
          <w:p w14:paraId="552C6E29">
            <w:pPr>
              <w:rPr>
                <w:rFonts w:hint="eastAsia" w:ascii="仿宋" w:hAnsi="仿宋" w:eastAsia="仿宋" w:cs="仿宋"/>
                <w:sz w:val="24"/>
                <w:szCs w:val="24"/>
                <w:highlight w:val="none"/>
              </w:rPr>
            </w:pPr>
          </w:p>
        </w:tc>
        <w:tc>
          <w:tcPr>
            <w:tcW w:w="5481" w:type="dxa"/>
            <w:vMerge w:val="continue"/>
            <w:vAlign w:val="center"/>
          </w:tcPr>
          <w:p w14:paraId="753B6AB7">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3CA0DCC4">
            <w:pPr>
              <w:jc w:val="center"/>
              <w:rPr>
                <w:rFonts w:hint="eastAsia" w:ascii="仿宋" w:hAnsi="仿宋" w:eastAsia="仿宋" w:cs="仿宋"/>
                <w:sz w:val="24"/>
                <w:szCs w:val="24"/>
                <w:highlight w:val="none"/>
              </w:rPr>
            </w:pPr>
          </w:p>
        </w:tc>
        <w:tc>
          <w:tcPr>
            <w:tcW w:w="1533" w:type="dxa"/>
            <w:vAlign w:val="center"/>
          </w:tcPr>
          <w:p w14:paraId="034245B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中心路</w:t>
            </w:r>
          </w:p>
          <w:p w14:paraId="56FD029C">
            <w:pPr>
              <w:pStyle w:val="2"/>
              <w:jc w:val="center"/>
              <w:rPr>
                <w:rFonts w:hint="default"/>
                <w:lang w:val="en-US" w:eastAsia="zh-CN"/>
              </w:rPr>
            </w:pPr>
            <w:r>
              <w:rPr>
                <w:rFonts w:hint="eastAsia" w:ascii="仿宋" w:hAnsi="仿宋" w:eastAsia="仿宋" w:cs="仿宋"/>
                <w:sz w:val="24"/>
                <w:szCs w:val="24"/>
                <w:highlight w:val="none"/>
                <w:lang w:val="en-US" w:eastAsia="zh-CN"/>
              </w:rPr>
              <w:t>25</w:t>
            </w:r>
          </w:p>
        </w:tc>
      </w:tr>
      <w:tr w14:paraId="16A6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2" w:hRule="atLeast"/>
        </w:trPr>
        <w:tc>
          <w:tcPr>
            <w:tcW w:w="752" w:type="dxa"/>
            <w:vMerge w:val="continue"/>
            <w:vAlign w:val="center"/>
          </w:tcPr>
          <w:p w14:paraId="25FF9FA4">
            <w:pPr>
              <w:ind w:firstLine="240" w:firstLineChars="100"/>
              <w:rPr>
                <w:rFonts w:hint="eastAsia" w:ascii="仿宋" w:hAnsi="仿宋" w:eastAsia="仿宋" w:cs="仿宋"/>
                <w:sz w:val="24"/>
                <w:szCs w:val="24"/>
                <w:highlight w:val="none"/>
              </w:rPr>
            </w:pPr>
          </w:p>
        </w:tc>
        <w:tc>
          <w:tcPr>
            <w:tcW w:w="789" w:type="dxa"/>
            <w:vMerge w:val="continue"/>
            <w:vAlign w:val="center"/>
          </w:tcPr>
          <w:p w14:paraId="3C0BED05">
            <w:pPr>
              <w:rPr>
                <w:rFonts w:hint="eastAsia" w:ascii="仿宋" w:hAnsi="仿宋" w:eastAsia="仿宋" w:cs="仿宋"/>
                <w:sz w:val="24"/>
                <w:szCs w:val="24"/>
                <w:highlight w:val="none"/>
              </w:rPr>
            </w:pPr>
          </w:p>
        </w:tc>
        <w:tc>
          <w:tcPr>
            <w:tcW w:w="5481" w:type="dxa"/>
            <w:vMerge w:val="continue"/>
            <w:vAlign w:val="center"/>
          </w:tcPr>
          <w:p w14:paraId="4F034E2F">
            <w:pPr>
              <w:widowControl/>
              <w:jc w:val="left"/>
              <w:rPr>
                <w:rFonts w:hint="eastAsia" w:ascii="仿宋" w:hAnsi="仿宋" w:eastAsia="仿宋" w:cs="仿宋"/>
                <w:color w:val="000000"/>
                <w:kern w:val="0"/>
                <w:sz w:val="24"/>
                <w:szCs w:val="24"/>
                <w:highlight w:val="none"/>
                <w:lang w:bidi="ar"/>
              </w:rPr>
            </w:pPr>
          </w:p>
        </w:tc>
        <w:tc>
          <w:tcPr>
            <w:tcW w:w="789" w:type="dxa"/>
            <w:vMerge w:val="continue"/>
            <w:vAlign w:val="center"/>
          </w:tcPr>
          <w:p w14:paraId="0CFF676F">
            <w:pPr>
              <w:jc w:val="center"/>
              <w:rPr>
                <w:rFonts w:hint="eastAsia" w:ascii="仿宋" w:hAnsi="仿宋" w:eastAsia="仿宋" w:cs="仿宋"/>
                <w:sz w:val="24"/>
                <w:szCs w:val="24"/>
                <w:highlight w:val="none"/>
              </w:rPr>
            </w:pPr>
          </w:p>
        </w:tc>
        <w:tc>
          <w:tcPr>
            <w:tcW w:w="1533" w:type="dxa"/>
            <w:vAlign w:val="center"/>
          </w:tcPr>
          <w:p w14:paraId="486E5B4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临河东路</w:t>
            </w:r>
          </w:p>
          <w:p w14:paraId="732256F3">
            <w:pPr>
              <w:pStyle w:val="2"/>
              <w:jc w:val="center"/>
              <w:rPr>
                <w:rFonts w:hint="default"/>
                <w:lang w:val="en-US" w:eastAsia="zh-CN"/>
              </w:rPr>
            </w:pPr>
            <w:r>
              <w:rPr>
                <w:rFonts w:hint="eastAsia" w:ascii="仿宋" w:hAnsi="仿宋" w:eastAsia="仿宋" w:cs="仿宋"/>
                <w:sz w:val="24"/>
                <w:szCs w:val="24"/>
                <w:highlight w:val="none"/>
                <w:lang w:val="en-US" w:eastAsia="zh-CN"/>
              </w:rPr>
              <w:t>8</w:t>
            </w:r>
          </w:p>
        </w:tc>
      </w:tr>
      <w:tr w14:paraId="266A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5"/>
            <w:vAlign w:val="center"/>
          </w:tcPr>
          <w:p w14:paraId="5FD5A54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66AC60F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1.上述带“▲”为主要规格参数，</w:t>
            </w:r>
            <w:r>
              <w:rPr>
                <w:rFonts w:hint="eastAsia" w:ascii="仿宋" w:hAnsi="仿宋" w:eastAsia="仿宋" w:cs="仿宋"/>
                <w:sz w:val="24"/>
                <w:szCs w:val="24"/>
                <w:highlight w:val="none"/>
                <w:lang w:val="en-US" w:eastAsia="zh-CN"/>
              </w:rPr>
              <w:t>投标时须提供国家电光源质量监督检验中心或国家电光源质量检验检测中心出具的样品灯具，国家光伏产品质量检验检测中心出具的样品锂电池、光伏板产品检测报告复印件并加盖投标单位公章</w:t>
            </w:r>
            <w:r>
              <w:rPr>
                <w:rFonts w:hint="eastAsia" w:ascii="仿宋" w:hAnsi="仿宋" w:eastAsia="仿宋" w:cs="仿宋"/>
                <w:sz w:val="24"/>
                <w:szCs w:val="24"/>
                <w:highlight w:val="none"/>
              </w:rPr>
              <w:t>【检测报告的封面必须带有 CMA及 CNAS 标志、有电子版报告的二维码、内页附有样品照片及外形尺寸】，且报告中参数指标涵盖</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采购要求。灯具的外观与样品图要求的外观一致，尺寸大小允许偏差在±5%以内 （含±5%）。</w:t>
            </w:r>
          </w:p>
          <w:p w14:paraId="39D1EA2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2.请供应商实地考察现场，综合考虑各种因素后报价。</w:t>
            </w:r>
          </w:p>
          <w:p w14:paraId="042BEC8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3.采购标准要求以采购要求、相关国家标准为准，在标准和采购要求不一致时，按要求高的标准执行。 </w:t>
            </w:r>
          </w:p>
          <w:p w14:paraId="016E5B1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.成交供应商提供的所有货物都必须为全新的原厂正品，不接受翻新产品，一经查实，取消成交资格，并列入采购人的采购黑名单，同时对成交供应商及负责人追究相关法律责任。</w:t>
            </w:r>
          </w:p>
          <w:p w14:paraId="19DFEBB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2820CBD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.供应商报价的所有太阳能路灯产品必须为同一品牌及型号，并且须在报价表上明确所投太阳能路灯产品的品牌及型号，否则视为无效响应。</w:t>
            </w:r>
          </w:p>
          <w:p w14:paraId="396A8941">
            <w:pPr>
              <w:jc w:val="left"/>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7.以上</w:t>
            </w:r>
            <w:r>
              <w:rPr>
                <w:rFonts w:hint="eastAsia" w:ascii="仿宋" w:hAnsi="仿宋" w:eastAsia="仿宋" w:cs="仿宋"/>
                <w:b/>
                <w:bCs/>
                <w:sz w:val="24"/>
                <w:szCs w:val="24"/>
                <w:highlight w:val="none"/>
              </w:rPr>
              <w:t>太阳能路灯的数量为暂定，实际安装数量以采购人的实际需求为准。按实结算</w:t>
            </w:r>
            <w:r>
              <w:rPr>
                <w:rFonts w:hint="eastAsia" w:ascii="仿宋" w:hAnsi="仿宋" w:eastAsia="仿宋" w:cs="仿宋"/>
                <w:b/>
                <w:bCs/>
                <w:sz w:val="24"/>
                <w:szCs w:val="24"/>
                <w:highlight w:val="none"/>
                <w:lang w:eastAsia="zh-CN"/>
              </w:rPr>
              <w:t>。</w:t>
            </w:r>
          </w:p>
        </w:tc>
      </w:tr>
    </w:tbl>
    <w:p w14:paraId="4E7C5DAB">
      <w:pPr>
        <w:snapToGrid w:val="0"/>
        <w:ind w:firstLine="561"/>
        <w:jc w:val="left"/>
        <w:rPr>
          <w:rFonts w:ascii="Times New Roman" w:hAnsi="Times New Roman" w:cs="Times New Roman"/>
          <w:sz w:val="24"/>
          <w:szCs w:val="24"/>
        </w:rPr>
      </w:pPr>
      <w:r>
        <w:rPr>
          <w:rFonts w:ascii="Times New Roman" w:hAnsi="Times New Roman" w:cs="Times New Roman"/>
          <w:sz w:val="24"/>
          <w:szCs w:val="24"/>
          <w:lang w:val="zh-CN"/>
        </w:rPr>
        <w:t>二</w:t>
      </w:r>
      <w:bookmarkEnd w:id="0"/>
      <w:bookmarkEnd w:id="1"/>
      <w:r>
        <w:rPr>
          <w:rFonts w:ascii="Times New Roman" w:hAnsi="Times New Roman" w:cs="Times New Roman"/>
          <w:sz w:val="24"/>
          <w:szCs w:val="24"/>
        </w:rPr>
        <w:t>、</w:t>
      </w:r>
      <w:r>
        <w:rPr>
          <w:rFonts w:hint="eastAsia" w:ascii="Times New Roman" w:hAnsi="Times New Roman" w:cs="Times New Roman"/>
          <w:sz w:val="24"/>
          <w:szCs w:val="24"/>
        </w:rPr>
        <w:t>报价</w:t>
      </w:r>
      <w:r>
        <w:rPr>
          <w:rFonts w:ascii="Times New Roman" w:hAnsi="Times New Roman" w:cs="Times New Roman"/>
          <w:sz w:val="24"/>
          <w:szCs w:val="24"/>
        </w:rPr>
        <w:t>供应商的要求：</w:t>
      </w:r>
    </w:p>
    <w:p w14:paraId="07D9E60C">
      <w:pPr>
        <w:pStyle w:val="14"/>
        <w:widowControl/>
        <w:spacing w:line="360" w:lineRule="auto"/>
        <w:ind w:firstLine="560"/>
        <w:jc w:val="both"/>
        <w:rPr>
          <w:rFonts w:ascii="Times New Roman" w:hAnsi="Times New Roman"/>
          <w:kern w:val="2"/>
          <w:szCs w:val="24"/>
        </w:rPr>
      </w:pPr>
      <w:r>
        <w:rPr>
          <w:rFonts w:hint="eastAsia" w:ascii="Times New Roman" w:hAnsi="Times New Roman"/>
          <w:kern w:val="2"/>
          <w:szCs w:val="24"/>
        </w:rPr>
        <w:t>1.符合《中华人民共和国政府采购法》第二十二条的规定；</w:t>
      </w:r>
    </w:p>
    <w:p w14:paraId="5B89E338">
      <w:pPr>
        <w:pStyle w:val="14"/>
        <w:widowControl/>
        <w:spacing w:line="360" w:lineRule="auto"/>
        <w:ind w:firstLine="560"/>
        <w:jc w:val="both"/>
        <w:rPr>
          <w:rFonts w:hint="eastAsia" w:ascii="Times New Roman" w:hAnsi="Times New Roman" w:eastAsiaTheme="minorEastAsia"/>
          <w:kern w:val="2"/>
          <w:szCs w:val="24"/>
          <w:lang w:eastAsia="zh-CN"/>
        </w:rPr>
      </w:pPr>
      <w:r>
        <w:rPr>
          <w:rFonts w:hint="eastAsia" w:ascii="Times New Roman" w:hAnsi="Times New Roman"/>
          <w:kern w:val="2"/>
          <w:szCs w:val="24"/>
          <w:lang w:val="en-US" w:eastAsia="zh-CN"/>
        </w:rPr>
        <w:t>2</w:t>
      </w:r>
      <w:r>
        <w:rPr>
          <w:rFonts w:hint="eastAsia" w:ascii="Times New Roman" w:hAnsi="Times New Roman"/>
          <w:kern w:val="2"/>
          <w:szCs w:val="24"/>
        </w:rPr>
        <w:t>.报价供应商具有有效的营业执照</w:t>
      </w:r>
      <w:r>
        <w:rPr>
          <w:rFonts w:hint="eastAsia" w:ascii="Times New Roman" w:hAnsi="Times New Roman"/>
          <w:kern w:val="2"/>
          <w:szCs w:val="24"/>
          <w:lang w:eastAsia="zh-CN"/>
        </w:rPr>
        <w:t>。</w:t>
      </w:r>
    </w:p>
    <w:p w14:paraId="1B2B5FF2">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三</w:t>
      </w:r>
      <w:r>
        <w:rPr>
          <w:rFonts w:ascii="Times New Roman" w:hAnsi="Times New Roman" w:cs="Times New Roman"/>
          <w:sz w:val="24"/>
          <w:szCs w:val="24"/>
        </w:rPr>
        <w:t>、约定事项</w:t>
      </w:r>
    </w:p>
    <w:p w14:paraId="126FB6D7">
      <w:pPr>
        <w:pStyle w:val="14"/>
        <w:widowControl/>
        <w:spacing w:line="360" w:lineRule="auto"/>
        <w:ind w:firstLine="560"/>
        <w:jc w:val="both"/>
        <w:rPr>
          <w:rFonts w:hint="eastAsia" w:ascii="Times New Roman" w:hAnsi="Times New Roman"/>
          <w:kern w:val="2"/>
          <w:szCs w:val="24"/>
        </w:rPr>
      </w:pPr>
      <w:r>
        <w:rPr>
          <w:rFonts w:hint="eastAsia" w:ascii="Times New Roman" w:hAnsi="Times New Roman"/>
          <w:kern w:val="2"/>
          <w:szCs w:val="24"/>
        </w:rPr>
        <w:t>1、上述采购要求为最低要求，不得负偏离，否则视为无效报价。</w:t>
      </w:r>
    </w:p>
    <w:p w14:paraId="46F69D54">
      <w:pPr>
        <w:pStyle w:val="14"/>
        <w:widowControl/>
        <w:spacing w:line="360" w:lineRule="auto"/>
        <w:ind w:firstLine="560"/>
        <w:jc w:val="both"/>
        <w:rPr>
          <w:rFonts w:hint="eastAsia" w:ascii="Times New Roman" w:hAnsi="Times New Roman"/>
          <w:kern w:val="2"/>
          <w:szCs w:val="24"/>
        </w:rPr>
      </w:pPr>
      <w:r>
        <w:rPr>
          <w:rFonts w:hint="eastAsia" w:ascii="Times New Roman" w:hAnsi="Times New Roman"/>
          <w:kern w:val="2"/>
          <w:szCs w:val="24"/>
        </w:rPr>
        <w:t>2、报价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w:t>
      </w:r>
    </w:p>
    <w:p w14:paraId="0513B746">
      <w:pPr>
        <w:pStyle w:val="14"/>
        <w:widowControl/>
        <w:spacing w:line="360" w:lineRule="auto"/>
        <w:ind w:firstLine="560"/>
        <w:jc w:val="both"/>
        <w:rPr>
          <w:rFonts w:hint="eastAsia" w:ascii="Times New Roman" w:hAnsi="Times New Roman"/>
          <w:kern w:val="2"/>
          <w:szCs w:val="24"/>
        </w:rPr>
      </w:pPr>
      <w:r>
        <w:rPr>
          <w:rFonts w:hint="eastAsia" w:ascii="Times New Roman" w:hAnsi="Times New Roman"/>
          <w:kern w:val="2"/>
          <w:szCs w:val="24"/>
        </w:rPr>
        <w:t>3、本项目要求整体质保三年（含部件及人工等）。</w:t>
      </w:r>
    </w:p>
    <w:p w14:paraId="1C8A7F8F">
      <w:pPr>
        <w:pStyle w:val="14"/>
        <w:widowControl/>
        <w:spacing w:line="360" w:lineRule="auto"/>
        <w:ind w:firstLine="560"/>
        <w:jc w:val="both"/>
        <w:rPr>
          <w:rFonts w:hint="eastAsia" w:ascii="Times New Roman" w:hAnsi="Times New Roman"/>
          <w:kern w:val="2"/>
          <w:szCs w:val="24"/>
        </w:rPr>
      </w:pPr>
      <w:r>
        <w:rPr>
          <w:rFonts w:hint="eastAsia" w:ascii="Times New Roman" w:hAnsi="Times New Roman"/>
          <w:kern w:val="2"/>
          <w:szCs w:val="24"/>
        </w:rPr>
        <w:t>4、供货与安装周期：自签订合同之日起30个日历天内完成供货及安装并调试至最佳使用状态，因成交供应商原因延期的，按违约处理。</w:t>
      </w:r>
    </w:p>
    <w:p w14:paraId="5FC5848E">
      <w:pPr>
        <w:pStyle w:val="14"/>
        <w:widowControl/>
        <w:spacing w:line="360" w:lineRule="auto"/>
        <w:ind w:firstLine="560"/>
        <w:jc w:val="both"/>
        <w:rPr>
          <w:rFonts w:hint="default" w:ascii="Times New Roman" w:hAnsi="Times New Roman"/>
          <w:kern w:val="2"/>
          <w:szCs w:val="24"/>
          <w:lang w:val="en-US"/>
        </w:rPr>
      </w:pPr>
      <w:r>
        <w:rPr>
          <w:rFonts w:hint="eastAsia" w:ascii="Times New Roman" w:hAnsi="Times New Roman"/>
          <w:kern w:val="2"/>
          <w:szCs w:val="24"/>
        </w:rPr>
        <w:t xml:space="preserve">5、参与报价的单位需将法人营业执照复印件、市场询价表于2026年04月   </w:t>
      </w:r>
      <w:r>
        <w:rPr>
          <w:rFonts w:hint="eastAsia" w:ascii="Times New Roman" w:hAnsi="Times New Roman"/>
          <w:kern w:val="2"/>
          <w:szCs w:val="24"/>
          <w:lang w:val="en-US" w:eastAsia="zh-CN"/>
        </w:rPr>
        <w:t>09</w:t>
      </w:r>
      <w:r>
        <w:rPr>
          <w:rFonts w:hint="eastAsia" w:ascii="Times New Roman" w:hAnsi="Times New Roman"/>
          <w:kern w:val="2"/>
          <w:szCs w:val="24"/>
        </w:rPr>
        <w:t>日17:</w:t>
      </w:r>
      <w:r>
        <w:rPr>
          <w:rFonts w:hint="eastAsia" w:ascii="Times New Roman" w:hAnsi="Times New Roman"/>
          <w:kern w:val="2"/>
          <w:szCs w:val="24"/>
          <w:lang w:val="en-US" w:eastAsia="zh-CN"/>
        </w:rPr>
        <w:t>0</w:t>
      </w:r>
      <w:r>
        <w:rPr>
          <w:rFonts w:hint="eastAsia" w:ascii="Times New Roman" w:hAnsi="Times New Roman"/>
          <w:kern w:val="2"/>
          <w:szCs w:val="24"/>
        </w:rPr>
        <w:t>0前，送或寄或发送电子邮件，联系地址：</w:t>
      </w:r>
      <w:r>
        <w:rPr>
          <w:rFonts w:hint="eastAsia" w:ascii="Times New Roman" w:hAnsi="Times New Roman"/>
          <w:kern w:val="2"/>
          <w:szCs w:val="24"/>
          <w:lang w:val="en-US" w:eastAsia="zh-CN"/>
        </w:rPr>
        <w:t>江苏缔逸项目管理</w:t>
      </w:r>
      <w:r>
        <w:rPr>
          <w:rFonts w:hint="eastAsia" w:ascii="Times New Roman" w:hAnsi="Times New Roman"/>
          <w:kern w:val="2"/>
          <w:szCs w:val="24"/>
        </w:rPr>
        <w:t>有限公司（启东市</w:t>
      </w:r>
      <w:r>
        <w:rPr>
          <w:rFonts w:hint="eastAsia" w:ascii="Times New Roman" w:hAnsi="Times New Roman"/>
          <w:kern w:val="2"/>
          <w:szCs w:val="24"/>
          <w:lang w:val="en-US" w:eastAsia="zh-CN"/>
        </w:rPr>
        <w:t>公园北路1088号</w:t>
      </w:r>
      <w:r>
        <w:rPr>
          <w:rFonts w:hint="eastAsia" w:ascii="Times New Roman" w:hAnsi="Times New Roman"/>
          <w:kern w:val="2"/>
          <w:szCs w:val="24"/>
        </w:rPr>
        <w:t>），联系人：</w:t>
      </w:r>
      <w:r>
        <w:rPr>
          <w:rFonts w:hint="eastAsia" w:ascii="Times New Roman" w:hAnsi="Times New Roman"/>
          <w:kern w:val="2"/>
          <w:szCs w:val="24"/>
          <w:lang w:val="en-US" w:eastAsia="zh-CN"/>
        </w:rPr>
        <w:t>苏海丹</w:t>
      </w:r>
      <w:r>
        <w:rPr>
          <w:rFonts w:hint="eastAsia" w:ascii="Times New Roman" w:hAnsi="Times New Roman"/>
          <w:kern w:val="2"/>
          <w:szCs w:val="24"/>
        </w:rPr>
        <w:t>，联系电话：</w:t>
      </w:r>
      <w:r>
        <w:rPr>
          <w:rFonts w:hint="eastAsia" w:ascii="Times New Roman" w:hAnsi="Times New Roman"/>
          <w:kern w:val="2"/>
          <w:szCs w:val="24"/>
          <w:lang w:val="en-US" w:eastAsia="zh-CN"/>
        </w:rPr>
        <w:t>0513-68039918，邮箱：110096631@qq.com。</w:t>
      </w:r>
    </w:p>
    <w:p w14:paraId="57517A58">
      <w:pPr>
        <w:pStyle w:val="14"/>
        <w:widowControl/>
        <w:spacing w:line="360" w:lineRule="auto"/>
        <w:ind w:firstLine="560"/>
        <w:jc w:val="both"/>
        <w:rPr>
          <w:rFonts w:hint="eastAsia" w:ascii="Times New Roman" w:hAnsi="Times New Roman"/>
          <w:kern w:val="2"/>
          <w:szCs w:val="24"/>
        </w:rPr>
      </w:pPr>
      <w:r>
        <w:rPr>
          <w:rFonts w:hint="eastAsia" w:ascii="Times New Roman" w:hAnsi="Times New Roman"/>
          <w:kern w:val="2"/>
          <w:szCs w:val="24"/>
        </w:rPr>
        <w:t>6、拟定支付方式及期限：本项目所有货物安装、调试完毕并经验收合格，待上级拨款到账后，凭启东市市场监督管理局合格的检测报告付至合同价的70%，验收合格满一年后付至审定价的80%，验收合格满二年后付至审定价的90%，余款（按审定价）在验收合格满三年后且产品无质量问题一次性付清。</w:t>
      </w:r>
    </w:p>
    <w:p w14:paraId="1432833C">
      <w:pPr>
        <w:pStyle w:val="14"/>
        <w:widowControl/>
        <w:spacing w:line="360" w:lineRule="auto"/>
        <w:ind w:firstLine="560"/>
        <w:jc w:val="both"/>
        <w:rPr>
          <w:rFonts w:hint="eastAsia" w:ascii="Times New Roman" w:hAnsi="Times New Roman"/>
          <w:kern w:val="2"/>
          <w:szCs w:val="24"/>
        </w:rPr>
      </w:pPr>
      <w:r>
        <w:rPr>
          <w:rFonts w:hint="eastAsia" w:ascii="Times New Roman" w:hAnsi="Times New Roman"/>
          <w:kern w:val="2"/>
          <w:szCs w:val="24"/>
        </w:rPr>
        <w:t>7、其他：⑴请报价单位认真核算、如实报价，如发现虚假报价的，报上级主管部门；⑵本次报价仅作为市场调研用，因此价格仅供参考；⑶本次调研询价不接收质疑函，只接收对本项目的建议。</w:t>
      </w:r>
    </w:p>
    <w:p w14:paraId="3959E066">
      <w:pPr>
        <w:ind w:firstLine="5520" w:firstLineChars="2300"/>
        <w:rPr>
          <w:rFonts w:ascii="Times New Roman" w:hAnsi="Times New Roman" w:cs="Times New Roman"/>
          <w:sz w:val="24"/>
          <w:szCs w:val="24"/>
        </w:rPr>
      </w:pPr>
    </w:p>
    <w:p w14:paraId="43C077FF">
      <w:pPr>
        <w:ind w:firstLine="5520" w:firstLineChars="2300"/>
        <w:rPr>
          <w:rFonts w:ascii="Times New Roman" w:hAnsi="Times New Roman" w:cs="Times New Roman"/>
          <w:sz w:val="24"/>
          <w:szCs w:val="24"/>
        </w:rPr>
      </w:pPr>
    </w:p>
    <w:p w14:paraId="60D1CFBB">
      <w:pPr>
        <w:ind w:firstLine="480"/>
        <w:jc w:val="right"/>
        <w:rPr>
          <w:rFonts w:ascii="Times New Roman" w:hAnsi="Times New Roman" w:cs="Times New Roman"/>
          <w:sz w:val="24"/>
          <w:szCs w:val="24"/>
        </w:rPr>
      </w:pPr>
      <w:r>
        <w:rPr>
          <w:rFonts w:hint="eastAsia" w:ascii="Times New Roman" w:hAnsi="Times New Roman" w:cs="Times New Roman"/>
          <w:sz w:val="24"/>
          <w:szCs w:val="24"/>
          <w:shd w:val="clear" w:color="auto" w:fill="FFFFFF"/>
        </w:rPr>
        <w:t>启东市汇龙镇</w:t>
      </w:r>
      <w:r>
        <w:rPr>
          <w:rFonts w:hint="eastAsia" w:ascii="Times New Roman" w:hAnsi="Times New Roman" w:cs="Times New Roman"/>
          <w:sz w:val="24"/>
          <w:szCs w:val="24"/>
          <w:shd w:val="clear" w:color="auto" w:fill="FFFFFF"/>
          <w:lang w:eastAsia="zh-CN"/>
        </w:rPr>
        <w:t>临江村</w:t>
      </w:r>
      <w:r>
        <w:rPr>
          <w:rFonts w:hint="eastAsia" w:ascii="Times New Roman" w:hAnsi="Times New Roman" w:cs="Times New Roman"/>
          <w:sz w:val="24"/>
          <w:szCs w:val="24"/>
          <w:shd w:val="clear" w:color="auto" w:fill="FFFFFF"/>
        </w:rPr>
        <w:t>股份经济合作社</w:t>
      </w:r>
    </w:p>
    <w:p w14:paraId="54F05575">
      <w:pPr>
        <w:ind w:firstLine="480"/>
        <w:jc w:val="right"/>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4"/>
          <w:szCs w:val="24"/>
        </w:rPr>
        <w:t xml:space="preserve">       202</w:t>
      </w:r>
      <w:r>
        <w:rPr>
          <w:rFonts w:hint="eastAsia" w:ascii="Times New Roman" w:hAnsi="Times New Roman" w:cs="Times New Roman"/>
          <w:sz w:val="24"/>
          <w:szCs w:val="24"/>
        </w:rPr>
        <w:t>6</w:t>
      </w:r>
      <w:r>
        <w:rPr>
          <w:rFonts w:ascii="Times New Roman" w:hAnsi="Times New Roman" w:cs="Times New Roman"/>
          <w:sz w:val="24"/>
          <w:szCs w:val="24"/>
        </w:rPr>
        <w:t>年</w:t>
      </w:r>
      <w:r>
        <w:rPr>
          <w:rFonts w:hint="eastAsia" w:ascii="Times New Roman" w:hAnsi="Times New Roman" w:cs="Times New Roman"/>
          <w:sz w:val="24"/>
          <w:szCs w:val="24"/>
        </w:rPr>
        <w:t>0</w:t>
      </w:r>
      <w:r>
        <w:rPr>
          <w:rFonts w:hint="eastAsia" w:ascii="Times New Roman" w:hAnsi="Times New Roman" w:cs="Times New Roman"/>
          <w:sz w:val="24"/>
          <w:szCs w:val="24"/>
          <w:lang w:val="en-US" w:eastAsia="zh-CN"/>
        </w:rPr>
        <w:t>4</w:t>
      </w:r>
      <w:r>
        <w:rPr>
          <w:rFonts w:ascii="Times New Roman" w:hAnsi="Times New Roman" w:cs="Times New Roman"/>
          <w:sz w:val="24"/>
          <w:szCs w:val="24"/>
        </w:rPr>
        <w:t>月</w:t>
      </w:r>
      <w:r>
        <w:rPr>
          <w:rFonts w:hint="eastAsia" w:ascii="Times New Roman" w:hAnsi="Times New Roman" w:cs="Times New Roman"/>
          <w:sz w:val="24"/>
          <w:szCs w:val="24"/>
          <w:lang w:val="en-US" w:eastAsia="zh-CN"/>
        </w:rPr>
        <w:t>03</w:t>
      </w:r>
      <w:r>
        <w:rPr>
          <w:rFonts w:hint="eastAsia" w:ascii="Times New Roman" w:hAnsi="Times New Roman" w:cs="Times New Roman"/>
          <w:sz w:val="24"/>
          <w:szCs w:val="24"/>
        </w:rPr>
        <w:t>日</w:t>
      </w:r>
    </w:p>
    <w:p w14:paraId="5A170467">
      <w:pPr>
        <w:pStyle w:val="2"/>
        <w:spacing w:line="222" w:lineRule="auto"/>
        <w:jc w:val="center"/>
        <w:rPr>
          <w:rFonts w:hint="eastAsia" w:ascii="宋体" w:hAnsi="宋体" w:eastAsia="宋体" w:cs="宋体"/>
          <w:highlight w:val="none"/>
          <w:lang w:eastAsia="zh-CN"/>
        </w:rPr>
      </w:pPr>
      <w:r>
        <w:rPr>
          <w:rFonts w:hint="eastAsia" w:ascii="宋体" w:hAnsi="宋体" w:eastAsia="宋体" w:cs="宋体"/>
          <w:b/>
          <w:bCs/>
          <w:color w:val="333333"/>
          <w:spacing w:val="-4"/>
          <w:highlight w:val="none"/>
          <w:lang w:val="en-US" w:eastAsia="zh-CN"/>
        </w:rPr>
        <w:t>2026年启东市汇龙镇临江村路灯更新工程</w:t>
      </w:r>
      <w:r>
        <w:rPr>
          <w:rFonts w:hint="default" w:ascii="宋体" w:hAnsi="宋体" w:cs="宋体"/>
          <w:b/>
          <w:bCs/>
          <w:color w:val="333333"/>
          <w:spacing w:val="-4"/>
          <w:highlight w:val="none"/>
          <w:lang w:eastAsia="zh-CN"/>
        </w:rPr>
        <w:t>项目报</w:t>
      </w:r>
      <w:r>
        <w:rPr>
          <w:rFonts w:hint="eastAsia" w:ascii="宋体" w:hAnsi="宋体" w:eastAsia="宋体" w:cs="宋体"/>
          <w:b/>
          <w:bCs/>
          <w:color w:val="333333"/>
          <w:spacing w:val="-4"/>
          <w:highlight w:val="none"/>
          <w:lang w:eastAsia="zh-CN"/>
        </w:rPr>
        <w:t>表</w:t>
      </w:r>
    </w:p>
    <w:tbl>
      <w:tblPr>
        <w:tblStyle w:val="1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22"/>
        <w:gridCol w:w="4803"/>
        <w:gridCol w:w="723"/>
        <w:gridCol w:w="755"/>
        <w:gridCol w:w="800"/>
        <w:gridCol w:w="678"/>
      </w:tblGrid>
      <w:tr w14:paraId="0F20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9" w:type="dxa"/>
            <w:vAlign w:val="center"/>
          </w:tcPr>
          <w:p w14:paraId="4346213F">
            <w:pPr>
              <w:bidi w:val="0"/>
              <w:jc w:val="center"/>
              <w:rPr>
                <w:rFonts w:hint="eastAsia" w:ascii="仿宋" w:hAnsi="仿宋" w:eastAsia="仿宋" w:cs="仿宋"/>
                <w:sz w:val="21"/>
                <w:szCs w:val="21"/>
              </w:rPr>
            </w:pPr>
            <w:r>
              <w:rPr>
                <w:rFonts w:hint="eastAsia" w:ascii="仿宋" w:hAnsi="仿宋" w:eastAsia="仿宋" w:cs="仿宋"/>
                <w:sz w:val="21"/>
                <w:szCs w:val="21"/>
              </w:rPr>
              <w:t>序号</w:t>
            </w:r>
          </w:p>
        </w:tc>
        <w:tc>
          <w:tcPr>
            <w:tcW w:w="1022" w:type="dxa"/>
            <w:vAlign w:val="center"/>
          </w:tcPr>
          <w:p w14:paraId="062FA84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货物</w:t>
            </w:r>
          </w:p>
          <w:p w14:paraId="3B42C477">
            <w:pPr>
              <w:bidi w:val="0"/>
              <w:jc w:val="center"/>
              <w:rPr>
                <w:rFonts w:hint="eastAsia" w:ascii="仿宋" w:hAnsi="仿宋" w:eastAsia="仿宋" w:cs="仿宋"/>
                <w:sz w:val="21"/>
                <w:szCs w:val="21"/>
              </w:rPr>
            </w:pPr>
            <w:r>
              <w:rPr>
                <w:rFonts w:hint="eastAsia" w:ascii="仿宋" w:hAnsi="仿宋" w:eastAsia="仿宋" w:cs="仿宋"/>
                <w:sz w:val="21"/>
                <w:szCs w:val="21"/>
              </w:rPr>
              <w:t>名称</w:t>
            </w:r>
          </w:p>
        </w:tc>
        <w:tc>
          <w:tcPr>
            <w:tcW w:w="4803" w:type="dxa"/>
            <w:vAlign w:val="center"/>
          </w:tcPr>
          <w:p w14:paraId="2117E49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c>
          <w:tcPr>
            <w:tcW w:w="723" w:type="dxa"/>
            <w:vAlign w:val="center"/>
          </w:tcPr>
          <w:p w14:paraId="7A92AE6F">
            <w:pPr>
              <w:bidi w:val="0"/>
              <w:jc w:val="center"/>
              <w:rPr>
                <w:rFonts w:hint="eastAsia" w:ascii="仿宋" w:hAnsi="仿宋" w:eastAsia="仿宋" w:cs="仿宋"/>
                <w:sz w:val="21"/>
                <w:szCs w:val="21"/>
              </w:rPr>
            </w:pPr>
            <w:r>
              <w:rPr>
                <w:rFonts w:hint="eastAsia" w:ascii="仿宋" w:hAnsi="仿宋" w:eastAsia="仿宋" w:cs="仿宋"/>
                <w:sz w:val="21"/>
                <w:szCs w:val="21"/>
              </w:rPr>
              <w:t>计量</w:t>
            </w:r>
          </w:p>
          <w:p w14:paraId="71048CD4">
            <w:pPr>
              <w:bidi w:val="0"/>
              <w:jc w:val="center"/>
              <w:rPr>
                <w:rFonts w:hint="eastAsia" w:ascii="仿宋" w:hAnsi="仿宋" w:eastAsia="仿宋" w:cs="仿宋"/>
                <w:sz w:val="21"/>
                <w:szCs w:val="21"/>
              </w:rPr>
            </w:pPr>
            <w:r>
              <w:rPr>
                <w:rFonts w:hint="eastAsia" w:ascii="仿宋" w:hAnsi="仿宋" w:eastAsia="仿宋" w:cs="仿宋"/>
                <w:sz w:val="21"/>
                <w:szCs w:val="21"/>
                <w:lang w:eastAsia="zh-CN"/>
              </w:rPr>
              <w:t>单</w:t>
            </w:r>
            <w:r>
              <w:rPr>
                <w:rFonts w:hint="eastAsia" w:ascii="仿宋" w:hAnsi="仿宋" w:eastAsia="仿宋" w:cs="仿宋"/>
                <w:sz w:val="21"/>
                <w:szCs w:val="21"/>
              </w:rPr>
              <w:t>位</w:t>
            </w:r>
          </w:p>
        </w:tc>
        <w:tc>
          <w:tcPr>
            <w:tcW w:w="755" w:type="dxa"/>
            <w:vAlign w:val="center"/>
          </w:tcPr>
          <w:p w14:paraId="081571F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预估</w:t>
            </w:r>
          </w:p>
          <w:p w14:paraId="19E369E0">
            <w:pPr>
              <w:bidi w:val="0"/>
              <w:jc w:val="center"/>
              <w:rPr>
                <w:rFonts w:hint="eastAsia" w:ascii="仿宋" w:hAnsi="仿宋" w:eastAsia="仿宋" w:cs="仿宋"/>
                <w:sz w:val="21"/>
                <w:szCs w:val="21"/>
              </w:rPr>
            </w:pPr>
            <w:r>
              <w:rPr>
                <w:rFonts w:hint="eastAsia" w:ascii="仿宋" w:hAnsi="仿宋" w:eastAsia="仿宋" w:cs="仿宋"/>
                <w:sz w:val="21"/>
                <w:szCs w:val="21"/>
              </w:rPr>
              <w:t>数量</w:t>
            </w:r>
          </w:p>
        </w:tc>
        <w:tc>
          <w:tcPr>
            <w:tcW w:w="800" w:type="dxa"/>
            <w:vAlign w:val="center"/>
          </w:tcPr>
          <w:p w14:paraId="21490A5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报价单价</w:t>
            </w:r>
          </w:p>
          <w:p w14:paraId="6C74D1A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（元）</w:t>
            </w:r>
          </w:p>
        </w:tc>
        <w:tc>
          <w:tcPr>
            <w:tcW w:w="678" w:type="dxa"/>
            <w:vAlign w:val="center"/>
          </w:tcPr>
          <w:p w14:paraId="29A9F7FD">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合价</w:t>
            </w:r>
          </w:p>
        </w:tc>
      </w:tr>
      <w:tr w14:paraId="6B4B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9" w:type="dxa"/>
            <w:vAlign w:val="center"/>
          </w:tcPr>
          <w:p w14:paraId="3032E9FF">
            <w:pPr>
              <w:widowControl/>
              <w:jc w:val="center"/>
              <w:rPr>
                <w:rFonts w:hint="eastAsia" w:ascii="仿宋" w:hAnsi="仿宋" w:eastAsia="仿宋" w:cs="仿宋"/>
                <w:sz w:val="24"/>
                <w:szCs w:val="24"/>
              </w:rPr>
            </w:pPr>
            <w:r>
              <w:rPr>
                <w:rFonts w:hint="eastAsia" w:ascii="仿宋" w:hAnsi="仿宋" w:eastAsia="仿宋" w:cs="仿宋"/>
                <w:color w:val="000000"/>
                <w:kern w:val="0"/>
                <w:sz w:val="21"/>
                <w:szCs w:val="21"/>
                <w:highlight w:val="none"/>
                <w:lang w:bidi="ar"/>
              </w:rPr>
              <w:t>1</w:t>
            </w:r>
          </w:p>
        </w:tc>
        <w:tc>
          <w:tcPr>
            <w:tcW w:w="1022" w:type="dxa"/>
            <w:vAlign w:val="center"/>
          </w:tcPr>
          <w:p w14:paraId="775FD6BF">
            <w:pPr>
              <w:widowControl/>
              <w:jc w:val="center"/>
              <w:rPr>
                <w:rFonts w:hint="eastAsia" w:ascii="仿宋" w:hAnsi="仿宋" w:eastAsia="仿宋" w:cs="仿宋"/>
                <w:sz w:val="24"/>
                <w:szCs w:val="24"/>
              </w:rPr>
            </w:pPr>
            <w:r>
              <w:rPr>
                <w:rFonts w:hint="eastAsia" w:ascii="仿宋" w:hAnsi="仿宋" w:eastAsia="仿宋" w:cs="仿宋"/>
                <w:color w:val="000000"/>
                <w:kern w:val="0"/>
                <w:sz w:val="21"/>
                <w:szCs w:val="21"/>
                <w:highlight w:val="none"/>
                <w:lang w:bidi="ar"/>
              </w:rPr>
              <w:t>拆除</w:t>
            </w:r>
          </w:p>
        </w:tc>
        <w:tc>
          <w:tcPr>
            <w:tcW w:w="4803" w:type="dxa"/>
            <w:vAlign w:val="center"/>
          </w:tcPr>
          <w:p w14:paraId="368E62C9">
            <w:pPr>
              <w:widowControl/>
              <w:jc w:val="left"/>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1、原有路灯及配线等附件全部拆除（具体以采购</w:t>
            </w:r>
            <w:r>
              <w:rPr>
                <w:rFonts w:hint="eastAsia" w:ascii="仿宋" w:hAnsi="仿宋" w:eastAsia="仿宋" w:cs="仿宋"/>
                <w:color w:val="000000"/>
                <w:kern w:val="0"/>
                <w:sz w:val="21"/>
                <w:szCs w:val="21"/>
                <w:highlight w:val="none"/>
                <w:lang w:val="en-US" w:eastAsia="zh-CN" w:bidi="ar"/>
              </w:rPr>
              <w:t>单位</w:t>
            </w:r>
            <w:r>
              <w:rPr>
                <w:rFonts w:hint="eastAsia" w:ascii="仿宋" w:hAnsi="仿宋" w:eastAsia="仿宋" w:cs="仿宋"/>
                <w:color w:val="000000"/>
                <w:kern w:val="0"/>
                <w:sz w:val="21"/>
                <w:szCs w:val="21"/>
                <w:highlight w:val="none"/>
                <w:lang w:bidi="ar"/>
              </w:rPr>
              <w:t>要求为准）。</w:t>
            </w:r>
          </w:p>
          <w:p w14:paraId="181A94A6">
            <w:pPr>
              <w:widowControl/>
              <w:jc w:val="left"/>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2、拆除后按采购</w:t>
            </w:r>
            <w:r>
              <w:rPr>
                <w:rFonts w:hint="eastAsia" w:ascii="仿宋" w:hAnsi="仿宋" w:eastAsia="仿宋" w:cs="仿宋"/>
                <w:color w:val="000000"/>
                <w:kern w:val="0"/>
                <w:sz w:val="21"/>
                <w:szCs w:val="21"/>
                <w:highlight w:val="none"/>
                <w:lang w:val="en-US" w:eastAsia="zh-CN" w:bidi="ar"/>
              </w:rPr>
              <w:t>单位</w:t>
            </w:r>
            <w:r>
              <w:rPr>
                <w:rFonts w:hint="eastAsia" w:ascii="仿宋" w:hAnsi="仿宋" w:eastAsia="仿宋" w:cs="仿宋"/>
                <w:color w:val="000000"/>
                <w:kern w:val="0"/>
                <w:sz w:val="21"/>
                <w:szCs w:val="21"/>
                <w:highlight w:val="none"/>
                <w:lang w:bidi="ar"/>
              </w:rPr>
              <w:t>要求在指定位置堆放整齐。</w:t>
            </w:r>
          </w:p>
          <w:p w14:paraId="5678C523">
            <w:pPr>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1"/>
                <w:szCs w:val="21"/>
                <w:highlight w:val="none"/>
                <w:lang w:bidi="ar"/>
              </w:rPr>
              <w:t>3、拆</w:t>
            </w:r>
            <w:r>
              <w:rPr>
                <w:rFonts w:hint="eastAsia" w:ascii="仿宋" w:hAnsi="仿宋" w:eastAsia="仿宋" w:cs="仿宋"/>
                <w:color w:val="000000"/>
                <w:kern w:val="0"/>
                <w:sz w:val="21"/>
                <w:szCs w:val="21"/>
                <w:highlight w:val="none"/>
                <w:lang w:val="en-US" w:eastAsia="zh-CN" w:bidi="ar"/>
              </w:rPr>
              <w:t>除</w:t>
            </w:r>
            <w:r>
              <w:rPr>
                <w:rFonts w:hint="eastAsia" w:ascii="仿宋" w:hAnsi="仿宋" w:eastAsia="仿宋" w:cs="仿宋"/>
                <w:color w:val="000000"/>
                <w:kern w:val="0"/>
                <w:sz w:val="21"/>
                <w:szCs w:val="21"/>
                <w:highlight w:val="none"/>
                <w:lang w:bidi="ar"/>
              </w:rPr>
              <w:t>的灯及配线等附件全部归采购</w:t>
            </w:r>
            <w:r>
              <w:rPr>
                <w:rFonts w:hint="eastAsia" w:ascii="仿宋" w:hAnsi="仿宋" w:eastAsia="仿宋" w:cs="仿宋"/>
                <w:color w:val="000000"/>
                <w:kern w:val="0"/>
                <w:sz w:val="21"/>
                <w:szCs w:val="21"/>
                <w:highlight w:val="none"/>
                <w:lang w:val="en-US" w:eastAsia="zh-CN" w:bidi="ar"/>
              </w:rPr>
              <w:t>单位</w:t>
            </w:r>
            <w:r>
              <w:rPr>
                <w:rFonts w:hint="eastAsia" w:ascii="仿宋" w:hAnsi="仿宋" w:eastAsia="仿宋" w:cs="仿宋"/>
                <w:color w:val="000000"/>
                <w:kern w:val="0"/>
                <w:sz w:val="21"/>
                <w:szCs w:val="21"/>
                <w:highlight w:val="none"/>
                <w:lang w:bidi="ar"/>
              </w:rPr>
              <w:t>所有。</w:t>
            </w:r>
          </w:p>
        </w:tc>
        <w:tc>
          <w:tcPr>
            <w:tcW w:w="723" w:type="dxa"/>
            <w:vAlign w:val="center"/>
          </w:tcPr>
          <w:p w14:paraId="3C329CF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755" w:type="dxa"/>
            <w:vAlign w:val="center"/>
          </w:tcPr>
          <w:p w14:paraId="02D6396F">
            <w:pPr>
              <w:jc w:val="center"/>
              <w:rPr>
                <w:rFonts w:hint="default" w:ascii="仿宋" w:hAnsi="仿宋" w:eastAsia="仿宋" w:cs="仿宋"/>
                <w:sz w:val="24"/>
                <w:szCs w:val="24"/>
                <w:lang w:val="en-US"/>
              </w:rPr>
            </w:pPr>
            <w:r>
              <w:rPr>
                <w:rFonts w:hint="eastAsia" w:ascii="仿宋" w:hAnsi="仿宋" w:eastAsia="仿宋" w:cs="仿宋"/>
                <w:sz w:val="21"/>
                <w:szCs w:val="21"/>
                <w:highlight w:val="none"/>
                <w:lang w:val="en-US" w:eastAsia="zh-CN"/>
              </w:rPr>
              <w:t>1</w:t>
            </w:r>
          </w:p>
        </w:tc>
        <w:tc>
          <w:tcPr>
            <w:tcW w:w="800" w:type="dxa"/>
            <w:vAlign w:val="center"/>
          </w:tcPr>
          <w:p w14:paraId="62A189EA">
            <w:pPr>
              <w:ind w:firstLine="105" w:firstLineChars="50"/>
              <w:jc w:val="center"/>
              <w:rPr>
                <w:rFonts w:hint="eastAsia" w:ascii="仿宋" w:hAnsi="仿宋" w:eastAsia="仿宋" w:cs="仿宋"/>
                <w:sz w:val="21"/>
                <w:szCs w:val="21"/>
                <w:highlight w:val="none"/>
                <w:lang w:val="en-US" w:eastAsia="zh-CN"/>
              </w:rPr>
            </w:pPr>
          </w:p>
        </w:tc>
        <w:tc>
          <w:tcPr>
            <w:tcW w:w="678" w:type="dxa"/>
            <w:vAlign w:val="center"/>
          </w:tcPr>
          <w:p w14:paraId="15A3FE86">
            <w:pPr>
              <w:ind w:firstLine="105" w:firstLineChars="50"/>
              <w:jc w:val="center"/>
              <w:rPr>
                <w:rFonts w:hint="eastAsia" w:ascii="仿宋" w:hAnsi="仿宋" w:eastAsia="仿宋" w:cs="仿宋"/>
                <w:sz w:val="21"/>
                <w:szCs w:val="21"/>
                <w:highlight w:val="none"/>
                <w:lang w:val="en-US" w:eastAsia="zh-CN"/>
              </w:rPr>
            </w:pPr>
          </w:p>
        </w:tc>
      </w:tr>
      <w:tr w14:paraId="425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trPr>
        <w:tc>
          <w:tcPr>
            <w:tcW w:w="519" w:type="dxa"/>
            <w:tcBorders>
              <w:bottom w:val="single" w:color="auto" w:sz="4" w:space="0"/>
            </w:tcBorders>
            <w:vAlign w:val="center"/>
          </w:tcPr>
          <w:p w14:paraId="0081109C">
            <w:pPr>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1022" w:type="dxa"/>
            <w:tcBorders>
              <w:bottom w:val="single" w:color="auto" w:sz="4" w:space="0"/>
            </w:tcBorders>
            <w:vAlign w:val="center"/>
          </w:tcPr>
          <w:p w14:paraId="023F9BA9">
            <w:pPr>
              <w:jc w:val="center"/>
              <w:rPr>
                <w:rFonts w:hint="eastAsia" w:ascii="仿宋" w:hAnsi="仿宋" w:eastAsia="仿宋" w:cs="仿宋"/>
                <w:sz w:val="21"/>
                <w:szCs w:val="21"/>
                <w:highlight w:val="none"/>
              </w:rPr>
            </w:pPr>
            <w:r>
              <w:rPr>
                <w:rFonts w:hint="eastAsia" w:ascii="仿宋" w:hAnsi="仿宋" w:eastAsia="仿宋" w:cs="仿宋"/>
                <w:sz w:val="21"/>
                <w:szCs w:val="21"/>
                <w:lang w:val="en-US" w:eastAsia="zh-CN"/>
              </w:rPr>
              <w:t>立柱式太阳能路灯</w:t>
            </w:r>
          </w:p>
        </w:tc>
        <w:tc>
          <w:tcPr>
            <w:tcW w:w="4803" w:type="dxa"/>
            <w:tcBorders>
              <w:bottom w:val="single" w:color="auto" w:sz="4" w:space="0"/>
            </w:tcBorders>
            <w:vAlign w:val="center"/>
          </w:tcPr>
          <w:p w14:paraId="342172E8">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1、灯杆： </w:t>
            </w:r>
          </w:p>
          <w:p w14:paraId="150F5E26">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灯杆高5米，材质为Q235,主杆上口径60mm，下口径140mm，壁厚2.5mm。出臂1米。 </w:t>
            </w:r>
          </w:p>
          <w:p w14:paraId="53D8D295">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2、灯头： </w:t>
            </w:r>
          </w:p>
          <w:p w14:paraId="0BF81B90">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▲光源功率 60W(±1W)。 </w:t>
            </w:r>
          </w:p>
          <w:p w14:paraId="5C6F03EF">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▲显色指数＞80。 </w:t>
            </w:r>
          </w:p>
          <w:p w14:paraId="7C2BAEA3">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▲色温6500K(±100K)。 </w:t>
            </w:r>
          </w:p>
          <w:p w14:paraId="795A6471">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▲灯具尺寸：520*205*95mm。 </w:t>
            </w:r>
          </w:p>
          <w:p w14:paraId="72D9A20F">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▲防护等级IP65。 </w:t>
            </w:r>
          </w:p>
          <w:p w14:paraId="1501976A">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▲符合 GB7000.203（GB7000.1）标准耐久性和热试验。 </w:t>
            </w:r>
          </w:p>
          <w:p w14:paraId="52A75770">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外壳采用全铝压铸、全密封构、外表 光滑，灯具结构设计合理、强度高。平均寿命＞50000小时。光衰＜3%，性能稳定。 </w:t>
            </w:r>
          </w:p>
          <w:p w14:paraId="41794357">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3、太阳能光伏板： </w:t>
            </w:r>
          </w:p>
          <w:p w14:paraId="798AA1CE">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▲功率≥100W（+5%内）。 </w:t>
            </w:r>
          </w:p>
          <w:p w14:paraId="14B41AD5">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多晶硅，转换率＞18%，4时段控制功能。可变功率，有过充过放及防反接功能，平均寿命≥10年。 </w:t>
            </w:r>
          </w:p>
          <w:p w14:paraId="1575C8D1">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4、太阳能专用锂电池： </w:t>
            </w:r>
          </w:p>
          <w:p w14:paraId="7402AB86">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▲额定容量≥50AH（+5%内）。 </w:t>
            </w:r>
          </w:p>
          <w:p w14:paraId="336D604D">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灯头内置，寿命≥10年。 </w:t>
            </w:r>
          </w:p>
          <w:p w14:paraId="34EAC0BB">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亮灯时间：12小时。 </w:t>
            </w:r>
          </w:p>
          <w:p w14:paraId="650441A1">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5、基础：500*500*800mm（最终以灯具厂家尺寸为准）。</w:t>
            </w:r>
          </w:p>
        </w:tc>
        <w:tc>
          <w:tcPr>
            <w:tcW w:w="723" w:type="dxa"/>
            <w:tcBorders>
              <w:bottom w:val="single" w:color="auto" w:sz="4" w:space="0"/>
            </w:tcBorders>
            <w:vAlign w:val="center"/>
          </w:tcPr>
          <w:p w14:paraId="21AE855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55" w:type="dxa"/>
            <w:tcBorders>
              <w:bottom w:val="single" w:color="auto" w:sz="4" w:space="0"/>
            </w:tcBorders>
            <w:vAlign w:val="center"/>
          </w:tcPr>
          <w:p w14:paraId="14A9636C">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800" w:type="dxa"/>
            <w:tcBorders>
              <w:bottom w:val="single" w:color="auto" w:sz="4" w:space="0"/>
            </w:tcBorders>
            <w:vAlign w:val="center"/>
          </w:tcPr>
          <w:p w14:paraId="739AF227">
            <w:pPr>
              <w:ind w:firstLine="105" w:firstLineChars="50"/>
              <w:jc w:val="center"/>
              <w:rPr>
                <w:rFonts w:hint="eastAsia" w:ascii="仿宋" w:hAnsi="仿宋" w:eastAsia="仿宋" w:cs="仿宋"/>
                <w:sz w:val="21"/>
                <w:szCs w:val="21"/>
                <w:highlight w:val="none"/>
                <w:lang w:val="en-US" w:eastAsia="zh-CN"/>
              </w:rPr>
            </w:pPr>
          </w:p>
        </w:tc>
        <w:tc>
          <w:tcPr>
            <w:tcW w:w="678" w:type="dxa"/>
            <w:tcBorders>
              <w:bottom w:val="single" w:color="auto" w:sz="4" w:space="0"/>
            </w:tcBorders>
            <w:vAlign w:val="center"/>
          </w:tcPr>
          <w:p w14:paraId="2CAC005B">
            <w:pPr>
              <w:ind w:firstLine="105" w:firstLineChars="50"/>
              <w:jc w:val="center"/>
              <w:rPr>
                <w:rFonts w:hint="eastAsia" w:ascii="仿宋" w:hAnsi="仿宋" w:eastAsia="仿宋" w:cs="仿宋"/>
                <w:sz w:val="21"/>
                <w:szCs w:val="21"/>
                <w:highlight w:val="none"/>
                <w:lang w:val="en-US" w:eastAsia="zh-CN"/>
              </w:rPr>
            </w:pPr>
          </w:p>
        </w:tc>
      </w:tr>
      <w:tr w14:paraId="6C90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dxa"/>
            <w:tcBorders>
              <w:top w:val="single" w:color="auto" w:sz="4" w:space="0"/>
              <w:bottom w:val="single" w:color="auto" w:sz="4" w:space="0"/>
            </w:tcBorders>
            <w:vAlign w:val="center"/>
          </w:tcPr>
          <w:p w14:paraId="044050C0">
            <w:pPr>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1022" w:type="dxa"/>
            <w:tcBorders>
              <w:top w:val="single" w:color="auto" w:sz="4" w:space="0"/>
              <w:bottom w:val="single" w:color="auto" w:sz="4" w:space="0"/>
            </w:tcBorders>
            <w:vAlign w:val="center"/>
          </w:tcPr>
          <w:p w14:paraId="64B5818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单臂悬挑太阳能路灯</w:t>
            </w:r>
          </w:p>
        </w:tc>
        <w:tc>
          <w:tcPr>
            <w:tcW w:w="4803" w:type="dxa"/>
            <w:tcBorders>
              <w:top w:val="single" w:color="auto" w:sz="4" w:space="0"/>
              <w:bottom w:val="single" w:color="auto" w:sz="4" w:space="0"/>
            </w:tcBorders>
            <w:vAlign w:val="center"/>
          </w:tcPr>
          <w:p w14:paraId="5E86D9D8">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1、灯臂： </w:t>
            </w:r>
          </w:p>
          <w:p w14:paraId="63C0C24E">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壁厚≥2.3mm，壁长1m，材质为Q235。底部焊接固定底座；整体热镀锌，静电喷塑防腐处理，含太阳能支架、抱箍、配件等。 </w:t>
            </w:r>
          </w:p>
          <w:p w14:paraId="01E50283">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2、灯头： </w:t>
            </w:r>
          </w:p>
          <w:p w14:paraId="5CF517C9">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▲光源功率 60W(±1W)。 </w:t>
            </w:r>
          </w:p>
          <w:p w14:paraId="72ADF995">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▲显色指数＞80。 </w:t>
            </w:r>
          </w:p>
          <w:p w14:paraId="44BAC0CD">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▲色温6500K(±100K)。 </w:t>
            </w:r>
          </w:p>
          <w:p w14:paraId="539A2ABC">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▲灯具尺寸：520*205*95mm。 </w:t>
            </w:r>
          </w:p>
          <w:p w14:paraId="0F541D15">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▲防护等级IP65。 </w:t>
            </w:r>
          </w:p>
          <w:p w14:paraId="0E282C1D">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▲符合 GB7000.203（GB7000.1）标准耐久性和热试验。 </w:t>
            </w:r>
          </w:p>
          <w:p w14:paraId="57329BBE">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外壳采用全铝压铸、全密封构、外表 光滑，灯具结构设计合理、强度高。平均寿命＞50000小时。光衰＜3%，性能稳定。 </w:t>
            </w:r>
          </w:p>
          <w:p w14:paraId="09FE1DB3">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3、太阳能光伏板： </w:t>
            </w:r>
          </w:p>
          <w:p w14:paraId="5D8679F9">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▲功率≥100W（+5%内）。 </w:t>
            </w:r>
          </w:p>
          <w:p w14:paraId="04B868EC">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多晶硅，转换率＞18%，4时段控制功能。可变功率，有过充过放及防反接功能，平均寿命≥10年。 </w:t>
            </w:r>
          </w:p>
          <w:p w14:paraId="3394BEC1">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4、太阳能专用锂电池： </w:t>
            </w:r>
          </w:p>
          <w:p w14:paraId="7819B527">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▲额定容量≥50AH（+5%内）。 </w:t>
            </w:r>
          </w:p>
          <w:p w14:paraId="76E1D0E4">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 xml:space="preserve">灯头内置，寿命≥10年。 </w:t>
            </w:r>
          </w:p>
          <w:p w14:paraId="59008E69">
            <w:pPr>
              <w:widowControl/>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亮灯时间：12小时。</w:t>
            </w:r>
          </w:p>
        </w:tc>
        <w:tc>
          <w:tcPr>
            <w:tcW w:w="723" w:type="dxa"/>
            <w:tcBorders>
              <w:top w:val="single" w:color="auto" w:sz="4" w:space="0"/>
              <w:bottom w:val="single" w:color="auto" w:sz="4" w:space="0"/>
            </w:tcBorders>
            <w:vAlign w:val="center"/>
          </w:tcPr>
          <w:p w14:paraId="1A05FEF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55" w:type="dxa"/>
            <w:tcBorders>
              <w:top w:val="single" w:color="auto" w:sz="4" w:space="0"/>
              <w:bottom w:val="single" w:color="auto" w:sz="4" w:space="0"/>
            </w:tcBorders>
            <w:vAlign w:val="center"/>
          </w:tcPr>
          <w:p w14:paraId="2EA385C1">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191</w:t>
            </w:r>
          </w:p>
        </w:tc>
        <w:tc>
          <w:tcPr>
            <w:tcW w:w="800" w:type="dxa"/>
            <w:tcBorders>
              <w:top w:val="single" w:color="auto" w:sz="4" w:space="0"/>
              <w:bottom w:val="single" w:color="auto" w:sz="4" w:space="0"/>
            </w:tcBorders>
            <w:vAlign w:val="center"/>
          </w:tcPr>
          <w:p w14:paraId="4A299B4E"/>
        </w:tc>
        <w:tc>
          <w:tcPr>
            <w:tcW w:w="678" w:type="dxa"/>
            <w:tcBorders>
              <w:top w:val="single" w:color="auto" w:sz="4" w:space="0"/>
              <w:bottom w:val="single" w:color="auto" w:sz="4" w:space="0"/>
            </w:tcBorders>
            <w:vAlign w:val="center"/>
          </w:tcPr>
          <w:p w14:paraId="242F9D4B"/>
        </w:tc>
      </w:tr>
      <w:tr w14:paraId="0CA9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300" w:type="dxa"/>
            <w:gridSpan w:val="7"/>
            <w:tcBorders>
              <w:top w:val="single" w:color="auto" w:sz="4" w:space="0"/>
            </w:tcBorders>
            <w:vAlign w:val="center"/>
          </w:tcPr>
          <w:p w14:paraId="1DF1526C">
            <w:r>
              <w:rPr>
                <w:spacing w:val="-3"/>
                <w:sz w:val="24"/>
                <w:szCs w:val="24"/>
                <w:highlight w:val="none"/>
              </w:rPr>
              <w:t>合计:大写</w:t>
            </w:r>
            <w:r>
              <w:rPr>
                <w:rFonts w:hint="eastAsia"/>
                <w:spacing w:val="-3"/>
                <w:sz w:val="24"/>
                <w:szCs w:val="24"/>
                <w:highlight w:val="none"/>
                <w:lang w:eastAsia="zh-CN"/>
              </w:rPr>
              <w:t xml:space="preserve">                    </w:t>
            </w:r>
            <w:r>
              <w:rPr>
                <w:rFonts w:hint="eastAsia"/>
                <w:spacing w:val="-3"/>
                <w:sz w:val="24"/>
                <w:szCs w:val="24"/>
                <w:highlight w:val="none"/>
                <w:lang w:val="en-US" w:eastAsia="zh-CN"/>
              </w:rPr>
              <w:t xml:space="preserve">  </w:t>
            </w:r>
            <w:r>
              <w:rPr>
                <w:rFonts w:hint="eastAsia"/>
                <w:spacing w:val="-3"/>
                <w:sz w:val="24"/>
                <w:szCs w:val="24"/>
                <w:highlight w:val="none"/>
                <w:lang w:eastAsia="zh-CN"/>
              </w:rPr>
              <w:t xml:space="preserve"> </w:t>
            </w:r>
            <w:r>
              <w:rPr>
                <w:spacing w:val="-7"/>
                <w:sz w:val="24"/>
                <w:szCs w:val="24"/>
                <w:highlight w:val="none"/>
              </w:rPr>
              <w:t>（小写</w:t>
            </w:r>
            <w:r>
              <w:rPr>
                <w:sz w:val="24"/>
                <w:szCs w:val="24"/>
                <w:highlight w:val="none"/>
              </w:rPr>
              <w:t>)</w:t>
            </w:r>
          </w:p>
        </w:tc>
      </w:tr>
      <w:tr w14:paraId="5C9C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300" w:type="dxa"/>
            <w:gridSpan w:val="7"/>
            <w:tcBorders>
              <w:top w:val="single" w:color="auto" w:sz="4" w:space="0"/>
            </w:tcBorders>
            <w:shd w:val="clear"/>
            <w:vAlign w:val="center"/>
          </w:tcPr>
          <w:p w14:paraId="5D8117F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4A0E93E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1.上述带“▲”为主要规格参数，</w:t>
            </w:r>
            <w:r>
              <w:rPr>
                <w:rFonts w:hint="eastAsia" w:ascii="仿宋" w:hAnsi="仿宋" w:eastAsia="仿宋" w:cs="仿宋"/>
                <w:sz w:val="24"/>
                <w:szCs w:val="24"/>
                <w:highlight w:val="none"/>
                <w:lang w:val="en-US" w:eastAsia="zh-CN"/>
              </w:rPr>
              <w:t>投标时须提供国家电光源质量监督检验中心或国家电光源质量检验检测中心出具的样品灯具，国家光伏产品质量检验检测中心出具的样品锂电池、光伏板产品检测报告复印件并加盖投标单位公章</w:t>
            </w:r>
            <w:r>
              <w:rPr>
                <w:rFonts w:hint="eastAsia" w:ascii="仿宋" w:hAnsi="仿宋" w:eastAsia="仿宋" w:cs="仿宋"/>
                <w:sz w:val="24"/>
                <w:szCs w:val="24"/>
                <w:highlight w:val="none"/>
              </w:rPr>
              <w:t>【检测报告的封面必须带有 CMA及 CNAS 标志、有电子版报告的二维码、内页附有样品照片及外形尺寸】，且报告中参数指标涵盖</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采购要求。灯具的外观与样品图要求的外观一致，尺寸大小允许偏差在±5%以内 （含±5%）。</w:t>
            </w:r>
          </w:p>
          <w:p w14:paraId="6A83C7B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2.请供应商实地考察现场，综合考虑各种因素后报价。</w:t>
            </w:r>
          </w:p>
          <w:p w14:paraId="251F0E9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3.采购标准要求以采购要求、相关国家标准为准，在标准和采购要求不一致时，按要求高的标准执行。 </w:t>
            </w:r>
          </w:p>
          <w:p w14:paraId="5A8A7D9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.成交供应商提供的所有货物都必须为全新的原厂正品，不接受翻新产品，一经查实，取消成交资格，并列入采购人的采购黑名单，同时对成交供应商及负责人追究相关法律责任。</w:t>
            </w:r>
          </w:p>
          <w:p w14:paraId="0B87DB0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6BB0051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.供应商报价的所有太阳能路灯产品必须为同一品牌及型号，并且须在报价表上明确所投太阳能路灯产品的品牌及型号，否则视为无效响应。</w:t>
            </w:r>
          </w:p>
          <w:p w14:paraId="2732D244">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7.以上</w:t>
            </w:r>
            <w:r>
              <w:rPr>
                <w:rFonts w:hint="eastAsia" w:ascii="仿宋" w:hAnsi="仿宋" w:eastAsia="仿宋" w:cs="仿宋"/>
                <w:b/>
                <w:bCs/>
                <w:sz w:val="24"/>
                <w:szCs w:val="24"/>
                <w:highlight w:val="none"/>
              </w:rPr>
              <w:t>太阳能路灯的数量为暂定，实际安装数量以采购人的实际需求为准。按实结算</w:t>
            </w:r>
            <w:r>
              <w:rPr>
                <w:rFonts w:hint="eastAsia" w:ascii="仿宋" w:hAnsi="仿宋" w:eastAsia="仿宋" w:cs="仿宋"/>
                <w:b/>
                <w:bCs/>
                <w:sz w:val="24"/>
                <w:szCs w:val="24"/>
                <w:highlight w:val="none"/>
                <w:lang w:eastAsia="zh-CN"/>
              </w:rPr>
              <w:t>。</w:t>
            </w:r>
          </w:p>
        </w:tc>
      </w:tr>
    </w:tbl>
    <w:p w14:paraId="71F1A9C6">
      <w:pPr>
        <w:snapToGrid w:val="0"/>
        <w:spacing w:line="320" w:lineRule="exact"/>
        <w:ind w:firstLine="480" w:firstLineChars="200"/>
        <w:rPr>
          <w:rFonts w:hint="eastAsia" w:ascii="宋体" w:hAnsi="宋体" w:eastAsia="宋体" w:cs="宋体"/>
          <w:sz w:val="24"/>
          <w:szCs w:val="24"/>
          <w:highlight w:val="none"/>
        </w:rPr>
      </w:pPr>
    </w:p>
    <w:p w14:paraId="66C198D7">
      <w:pPr>
        <w:snapToGrid w:val="0"/>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响应供应商全称：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（盖公章）</w:t>
      </w:r>
    </w:p>
    <w:p w14:paraId="3B03055B">
      <w:pPr>
        <w:snapToGrid w:val="0"/>
        <w:spacing w:line="320" w:lineRule="exact"/>
        <w:ind w:firstLine="480" w:firstLineChars="200"/>
        <w:rPr>
          <w:rFonts w:hint="eastAsia" w:ascii="宋体" w:hAnsi="宋体" w:eastAsia="宋体" w:cs="宋体"/>
          <w:sz w:val="24"/>
          <w:szCs w:val="24"/>
          <w:highlight w:val="none"/>
          <w:u w:val="single"/>
        </w:rPr>
      </w:pPr>
    </w:p>
    <w:p w14:paraId="2BAFD55D">
      <w:pPr>
        <w:snapToGrid w:val="0"/>
        <w:spacing w:line="32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p>
    <w:p w14:paraId="0B4F153A">
      <w:pPr>
        <w:pStyle w:val="16"/>
        <w:ind w:left="0" w:leftChars="0" w:firstLine="630" w:firstLineChars="300"/>
        <w:rPr>
          <w:rFonts w:hint="eastAsia"/>
          <w:highlight w:val="none"/>
          <w:lang w:val="en-US" w:eastAsia="zh-CN"/>
        </w:rPr>
      </w:pPr>
    </w:p>
    <w:p w14:paraId="1E8249F6">
      <w:pPr>
        <w:pStyle w:val="16"/>
        <w:ind w:left="0" w:leftChars="0" w:firstLine="630" w:firstLineChars="300"/>
        <w:rPr>
          <w:rFonts w:ascii="Times New Roman" w:hAnsi="Times New Roman" w:cs="Times New Roman"/>
          <w:sz w:val="32"/>
          <w:szCs w:val="32"/>
          <w:shd w:val="clear" w:color="auto" w:fill="FFFFFF"/>
        </w:rPr>
      </w:pPr>
      <w:r>
        <w:rPr>
          <w:rFonts w:hint="eastAsia"/>
          <w:highlight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2E312"/>
    <w:multiLevelType w:val="singleLevel"/>
    <w:tmpl w:val="4C62E3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Dk5NDZiYmM1Njc0MzFiYWYwNmQ2OTU2Y2U5ZGMifQ=="/>
  </w:docVars>
  <w:rsids>
    <w:rsidRoot w:val="00CE500D"/>
    <w:rsid w:val="00017D04"/>
    <w:rsid w:val="0023679F"/>
    <w:rsid w:val="002E440A"/>
    <w:rsid w:val="002E6BB5"/>
    <w:rsid w:val="0034394B"/>
    <w:rsid w:val="00361028"/>
    <w:rsid w:val="003B7E48"/>
    <w:rsid w:val="00401700"/>
    <w:rsid w:val="00522A2C"/>
    <w:rsid w:val="005615DA"/>
    <w:rsid w:val="00620764"/>
    <w:rsid w:val="00654ABC"/>
    <w:rsid w:val="007802A2"/>
    <w:rsid w:val="007D419D"/>
    <w:rsid w:val="00832DE5"/>
    <w:rsid w:val="008E5996"/>
    <w:rsid w:val="00A25894"/>
    <w:rsid w:val="00B86DAD"/>
    <w:rsid w:val="00BD4640"/>
    <w:rsid w:val="00C10861"/>
    <w:rsid w:val="00C14B91"/>
    <w:rsid w:val="00C541DA"/>
    <w:rsid w:val="00CE500D"/>
    <w:rsid w:val="00D50A04"/>
    <w:rsid w:val="00DE4CA8"/>
    <w:rsid w:val="00DF5EDA"/>
    <w:rsid w:val="00E36B5B"/>
    <w:rsid w:val="00EF5C0A"/>
    <w:rsid w:val="00FD1CD8"/>
    <w:rsid w:val="00FF70EB"/>
    <w:rsid w:val="01AB7A79"/>
    <w:rsid w:val="02210711"/>
    <w:rsid w:val="02664544"/>
    <w:rsid w:val="03566A31"/>
    <w:rsid w:val="035D3D0B"/>
    <w:rsid w:val="0448715B"/>
    <w:rsid w:val="044B2763"/>
    <w:rsid w:val="04940A09"/>
    <w:rsid w:val="08202AE5"/>
    <w:rsid w:val="08A21AF3"/>
    <w:rsid w:val="09AD03A9"/>
    <w:rsid w:val="0AA96DC2"/>
    <w:rsid w:val="0AB31B64"/>
    <w:rsid w:val="0B352404"/>
    <w:rsid w:val="0B507B40"/>
    <w:rsid w:val="0B951A25"/>
    <w:rsid w:val="0B9B67A5"/>
    <w:rsid w:val="0BA36998"/>
    <w:rsid w:val="0BD90538"/>
    <w:rsid w:val="0BF202F5"/>
    <w:rsid w:val="0C71390F"/>
    <w:rsid w:val="0C8C0749"/>
    <w:rsid w:val="0D7506A7"/>
    <w:rsid w:val="0DB528E8"/>
    <w:rsid w:val="0EC57F06"/>
    <w:rsid w:val="0EDD34DE"/>
    <w:rsid w:val="0FE443F8"/>
    <w:rsid w:val="10293E54"/>
    <w:rsid w:val="108217FC"/>
    <w:rsid w:val="11423ACC"/>
    <w:rsid w:val="12076322"/>
    <w:rsid w:val="130A47A3"/>
    <w:rsid w:val="130E0083"/>
    <w:rsid w:val="139169C3"/>
    <w:rsid w:val="13A463FB"/>
    <w:rsid w:val="14214E0F"/>
    <w:rsid w:val="14B44CE1"/>
    <w:rsid w:val="14BF0032"/>
    <w:rsid w:val="15035321"/>
    <w:rsid w:val="156D307B"/>
    <w:rsid w:val="15B47041"/>
    <w:rsid w:val="15E46F00"/>
    <w:rsid w:val="160142ED"/>
    <w:rsid w:val="16173F2C"/>
    <w:rsid w:val="16583648"/>
    <w:rsid w:val="16F07406"/>
    <w:rsid w:val="1776627E"/>
    <w:rsid w:val="190B6E9A"/>
    <w:rsid w:val="193C7053"/>
    <w:rsid w:val="19D92AF4"/>
    <w:rsid w:val="1A74631B"/>
    <w:rsid w:val="1AF35C55"/>
    <w:rsid w:val="1B4474E1"/>
    <w:rsid w:val="1BD70E08"/>
    <w:rsid w:val="1C5C683D"/>
    <w:rsid w:val="1C651DCF"/>
    <w:rsid w:val="1C6737E8"/>
    <w:rsid w:val="1C683FA7"/>
    <w:rsid w:val="1C9E19D9"/>
    <w:rsid w:val="1DA653E3"/>
    <w:rsid w:val="1DCE71A7"/>
    <w:rsid w:val="1EC441A4"/>
    <w:rsid w:val="1ECC360E"/>
    <w:rsid w:val="1F3D6340"/>
    <w:rsid w:val="1F4E1922"/>
    <w:rsid w:val="1F7F5290"/>
    <w:rsid w:val="200A3A07"/>
    <w:rsid w:val="20834438"/>
    <w:rsid w:val="222334A6"/>
    <w:rsid w:val="226513C9"/>
    <w:rsid w:val="23224442"/>
    <w:rsid w:val="235A2EF8"/>
    <w:rsid w:val="235F5FD0"/>
    <w:rsid w:val="256E4A38"/>
    <w:rsid w:val="25DC5E46"/>
    <w:rsid w:val="27AE4F55"/>
    <w:rsid w:val="27D32EF7"/>
    <w:rsid w:val="28C12065"/>
    <w:rsid w:val="29001E4B"/>
    <w:rsid w:val="291B42C9"/>
    <w:rsid w:val="293D22C4"/>
    <w:rsid w:val="295C39EB"/>
    <w:rsid w:val="2A6333C0"/>
    <w:rsid w:val="2B4A32E9"/>
    <w:rsid w:val="2B795EE5"/>
    <w:rsid w:val="2C0734F1"/>
    <w:rsid w:val="2C357E1F"/>
    <w:rsid w:val="2CD5539D"/>
    <w:rsid w:val="2D4113BB"/>
    <w:rsid w:val="2D4A7B39"/>
    <w:rsid w:val="307C26FF"/>
    <w:rsid w:val="30F77FD8"/>
    <w:rsid w:val="311345EC"/>
    <w:rsid w:val="314B50C8"/>
    <w:rsid w:val="31AA0A84"/>
    <w:rsid w:val="31F767B3"/>
    <w:rsid w:val="326351F9"/>
    <w:rsid w:val="32EA3795"/>
    <w:rsid w:val="33D6447B"/>
    <w:rsid w:val="33DB351D"/>
    <w:rsid w:val="348B49DE"/>
    <w:rsid w:val="34AB35F2"/>
    <w:rsid w:val="34BF3FDB"/>
    <w:rsid w:val="35755789"/>
    <w:rsid w:val="360311CD"/>
    <w:rsid w:val="36930523"/>
    <w:rsid w:val="36F328CD"/>
    <w:rsid w:val="37971BCD"/>
    <w:rsid w:val="37C55F0F"/>
    <w:rsid w:val="37E1553E"/>
    <w:rsid w:val="38A26A7B"/>
    <w:rsid w:val="398E7860"/>
    <w:rsid w:val="39C05C8E"/>
    <w:rsid w:val="3A614714"/>
    <w:rsid w:val="3A6A03E3"/>
    <w:rsid w:val="3A993EAE"/>
    <w:rsid w:val="3AAD7959"/>
    <w:rsid w:val="3B0E7411"/>
    <w:rsid w:val="3B451940"/>
    <w:rsid w:val="3B4A4C7B"/>
    <w:rsid w:val="3BD123D9"/>
    <w:rsid w:val="3CBE5E4E"/>
    <w:rsid w:val="3D212820"/>
    <w:rsid w:val="3D965961"/>
    <w:rsid w:val="3FE71217"/>
    <w:rsid w:val="40356CCC"/>
    <w:rsid w:val="40D02AF3"/>
    <w:rsid w:val="41986C6D"/>
    <w:rsid w:val="41C646A4"/>
    <w:rsid w:val="43076734"/>
    <w:rsid w:val="437C581A"/>
    <w:rsid w:val="43993170"/>
    <w:rsid w:val="43AF64F0"/>
    <w:rsid w:val="43EF0FE2"/>
    <w:rsid w:val="43EF3DF9"/>
    <w:rsid w:val="43FE1BDE"/>
    <w:rsid w:val="45390767"/>
    <w:rsid w:val="46010751"/>
    <w:rsid w:val="461D4220"/>
    <w:rsid w:val="46294959"/>
    <w:rsid w:val="4632038F"/>
    <w:rsid w:val="4657693C"/>
    <w:rsid w:val="467D0B27"/>
    <w:rsid w:val="46E2098A"/>
    <w:rsid w:val="47066A1D"/>
    <w:rsid w:val="47F35EA9"/>
    <w:rsid w:val="483658F6"/>
    <w:rsid w:val="487D6BBD"/>
    <w:rsid w:val="488F4BB0"/>
    <w:rsid w:val="49121BEA"/>
    <w:rsid w:val="493C6A78"/>
    <w:rsid w:val="495140F2"/>
    <w:rsid w:val="496164DE"/>
    <w:rsid w:val="4A2319E6"/>
    <w:rsid w:val="4B610403"/>
    <w:rsid w:val="4C1563E9"/>
    <w:rsid w:val="4C6F0237"/>
    <w:rsid w:val="4C721578"/>
    <w:rsid w:val="4CB92004"/>
    <w:rsid w:val="4D861753"/>
    <w:rsid w:val="4D9F1383"/>
    <w:rsid w:val="4D9F759E"/>
    <w:rsid w:val="4E2C6806"/>
    <w:rsid w:val="4ECA68D4"/>
    <w:rsid w:val="4F5D3AB7"/>
    <w:rsid w:val="4F6C1739"/>
    <w:rsid w:val="50010D46"/>
    <w:rsid w:val="521B30FA"/>
    <w:rsid w:val="5248342C"/>
    <w:rsid w:val="52632A25"/>
    <w:rsid w:val="52F757BE"/>
    <w:rsid w:val="53486019"/>
    <w:rsid w:val="536966BB"/>
    <w:rsid w:val="546F6A60"/>
    <w:rsid w:val="54AF45A2"/>
    <w:rsid w:val="54F96310"/>
    <w:rsid w:val="552D0797"/>
    <w:rsid w:val="554E7420"/>
    <w:rsid w:val="55FA0C3A"/>
    <w:rsid w:val="5640122A"/>
    <w:rsid w:val="56DB78D0"/>
    <w:rsid w:val="57FF7D17"/>
    <w:rsid w:val="5806097D"/>
    <w:rsid w:val="58A843CB"/>
    <w:rsid w:val="59170968"/>
    <w:rsid w:val="595B5175"/>
    <w:rsid w:val="59B120AB"/>
    <w:rsid w:val="5A2D2A86"/>
    <w:rsid w:val="5B124A58"/>
    <w:rsid w:val="5C9546B7"/>
    <w:rsid w:val="5CFA4BA6"/>
    <w:rsid w:val="5D0B4022"/>
    <w:rsid w:val="5D496DBF"/>
    <w:rsid w:val="5D810D6A"/>
    <w:rsid w:val="5D8D11F8"/>
    <w:rsid w:val="5D8F082D"/>
    <w:rsid w:val="5DA046A0"/>
    <w:rsid w:val="5DD60DF1"/>
    <w:rsid w:val="5DFA3980"/>
    <w:rsid w:val="5E134CBE"/>
    <w:rsid w:val="5E706571"/>
    <w:rsid w:val="5E8E347A"/>
    <w:rsid w:val="5EEE3AEE"/>
    <w:rsid w:val="5F0C439F"/>
    <w:rsid w:val="61061C6B"/>
    <w:rsid w:val="611E30B6"/>
    <w:rsid w:val="614F7FD9"/>
    <w:rsid w:val="61706974"/>
    <w:rsid w:val="61D52C5F"/>
    <w:rsid w:val="625E7607"/>
    <w:rsid w:val="626F01FB"/>
    <w:rsid w:val="628F073C"/>
    <w:rsid w:val="63343EC4"/>
    <w:rsid w:val="64654C7D"/>
    <w:rsid w:val="656E190F"/>
    <w:rsid w:val="65AD4482"/>
    <w:rsid w:val="672A0689"/>
    <w:rsid w:val="67334BBF"/>
    <w:rsid w:val="674D7D2D"/>
    <w:rsid w:val="678E44EB"/>
    <w:rsid w:val="687D052C"/>
    <w:rsid w:val="688D02FE"/>
    <w:rsid w:val="68906740"/>
    <w:rsid w:val="69353554"/>
    <w:rsid w:val="697B45FB"/>
    <w:rsid w:val="6A652FEE"/>
    <w:rsid w:val="6BDF75DB"/>
    <w:rsid w:val="6BF04907"/>
    <w:rsid w:val="6C7D4B2E"/>
    <w:rsid w:val="6CEC29E0"/>
    <w:rsid w:val="6F5B6D78"/>
    <w:rsid w:val="6FBD5AE6"/>
    <w:rsid w:val="6FD66A2F"/>
    <w:rsid w:val="706978A3"/>
    <w:rsid w:val="7078466A"/>
    <w:rsid w:val="707E4338"/>
    <w:rsid w:val="708E10B8"/>
    <w:rsid w:val="70F73101"/>
    <w:rsid w:val="70F8420D"/>
    <w:rsid w:val="714C57CC"/>
    <w:rsid w:val="71F326B3"/>
    <w:rsid w:val="726245AA"/>
    <w:rsid w:val="727E5E54"/>
    <w:rsid w:val="728D4E6A"/>
    <w:rsid w:val="72AC1CC9"/>
    <w:rsid w:val="73011B3E"/>
    <w:rsid w:val="731F4041"/>
    <w:rsid w:val="7365626F"/>
    <w:rsid w:val="73727BB8"/>
    <w:rsid w:val="73A52518"/>
    <w:rsid w:val="74512B28"/>
    <w:rsid w:val="750A2372"/>
    <w:rsid w:val="756F3EAF"/>
    <w:rsid w:val="757D221F"/>
    <w:rsid w:val="768C502E"/>
    <w:rsid w:val="76D13703"/>
    <w:rsid w:val="76E47C83"/>
    <w:rsid w:val="78B76110"/>
    <w:rsid w:val="78E5724B"/>
    <w:rsid w:val="79A100AE"/>
    <w:rsid w:val="79C20308"/>
    <w:rsid w:val="7A4F1871"/>
    <w:rsid w:val="7B0E17E2"/>
    <w:rsid w:val="7B430CF1"/>
    <w:rsid w:val="7B5F45A6"/>
    <w:rsid w:val="7BDD38E4"/>
    <w:rsid w:val="7D802572"/>
    <w:rsid w:val="7DDA320F"/>
    <w:rsid w:val="7DDB3462"/>
    <w:rsid w:val="7E297C37"/>
    <w:rsid w:val="7E553215"/>
    <w:rsid w:val="7E5C0773"/>
    <w:rsid w:val="7EBC7738"/>
    <w:rsid w:val="7F0D7F93"/>
    <w:rsid w:val="7F165C03"/>
    <w:rsid w:val="7F866811"/>
    <w:rsid w:val="7FAE77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宋体" w:cs="Times New Roman"/>
      <w:kern w:val="0"/>
      <w:sz w:val="24"/>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index 5"/>
    <w:basedOn w:val="1"/>
    <w:next w:val="1"/>
    <w:unhideWhenUsed/>
    <w:qFormat/>
    <w:uiPriority w:val="99"/>
    <w:pPr>
      <w:ind w:left="1050" w:hanging="210" w:firstLineChars="200"/>
      <w:jc w:val="left"/>
    </w:pPr>
    <w:rPr>
      <w:sz w:val="18"/>
      <w:szCs w:val="18"/>
      <w:lang w:eastAsia="zh-TW"/>
    </w:r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index 4"/>
    <w:basedOn w:val="1"/>
    <w:next w:val="1"/>
    <w:unhideWhenUsed/>
    <w:qFormat/>
    <w:uiPriority w:val="99"/>
    <w:pPr>
      <w:ind w:left="600" w:leftChars="600"/>
    </w:pPr>
    <w:rPr>
      <w:rFonts w:ascii="Times New Roman" w:hAnsi="Times New Roman" w:eastAsia="宋体" w:cs="Times New Roman"/>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5"/>
    <w:qFormat/>
    <w:uiPriority w:val="0"/>
    <w:pPr>
      <w:adjustRightInd w:val="0"/>
      <w:spacing w:line="312" w:lineRule="atLeast"/>
      <w:jc w:val="left"/>
      <w:textAlignment w:val="baseline"/>
    </w:pPr>
    <w:rPr>
      <w:kern w:val="0"/>
      <w:sz w:val="18"/>
      <w:szCs w:val="20"/>
    </w:rPr>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4">
    <w:name w:val="Normal (Web)"/>
    <w:basedOn w:val="1"/>
    <w:qFormat/>
    <w:uiPriority w:val="0"/>
    <w:pPr>
      <w:jc w:val="left"/>
    </w:pPr>
    <w:rPr>
      <w:rFonts w:cs="Times New Roman"/>
      <w:kern w:val="0"/>
      <w:sz w:val="24"/>
    </w:rPr>
  </w:style>
  <w:style w:type="paragraph" w:styleId="15">
    <w:name w:val="Body Text First Indent"/>
    <w:basedOn w:val="2"/>
    <w:qFormat/>
    <w:uiPriority w:val="99"/>
    <w:pPr>
      <w:ind w:firstLine="420" w:firstLineChars="100"/>
    </w:pPr>
    <w:rPr>
      <w:kern w:val="0"/>
      <w:sz w:val="24"/>
    </w:rPr>
  </w:style>
  <w:style w:type="paragraph" w:styleId="16">
    <w:name w:val="Body Text First Indent 2"/>
    <w:basedOn w:val="7"/>
    <w:qFormat/>
    <w:uiPriority w:val="99"/>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qFormat/>
    <w:uiPriority w:val="99"/>
    <w:rPr>
      <w:sz w:val="18"/>
      <w:szCs w:val="18"/>
    </w:rPr>
  </w:style>
  <w:style w:type="character" w:customStyle="1" w:styleId="21">
    <w:name w:val="页脚 Char"/>
    <w:basedOn w:val="19"/>
    <w:link w:val="10"/>
    <w:qFormat/>
    <w:uiPriority w:val="99"/>
    <w:rPr>
      <w:sz w:val="18"/>
      <w:szCs w:val="18"/>
    </w:rPr>
  </w:style>
  <w:style w:type="character" w:customStyle="1" w:styleId="22">
    <w:name w:val="font71"/>
    <w:basedOn w:val="19"/>
    <w:qFormat/>
    <w:uiPriority w:val="0"/>
    <w:rPr>
      <w:rFonts w:hint="eastAsia" w:ascii="宋体" w:hAnsi="宋体" w:eastAsia="宋体" w:cs="宋体"/>
      <w:color w:val="000000"/>
      <w:sz w:val="18"/>
      <w:szCs w:val="18"/>
      <w:u w:val="none"/>
    </w:rPr>
  </w:style>
  <w:style w:type="character" w:customStyle="1" w:styleId="23">
    <w:name w:val="font11"/>
    <w:basedOn w:val="19"/>
    <w:qFormat/>
    <w:uiPriority w:val="0"/>
    <w:rPr>
      <w:rFonts w:hint="eastAsia" w:ascii="宋体" w:hAnsi="宋体" w:eastAsia="宋体" w:cs="宋体"/>
      <w:color w:val="FF0000"/>
      <w:sz w:val="18"/>
      <w:szCs w:val="18"/>
      <w:u w:val="none"/>
    </w:rPr>
  </w:style>
  <w:style w:type="paragraph" w:customStyle="1" w:styleId="24">
    <w:name w:val="表格文字"/>
    <w:basedOn w:val="7"/>
    <w:next w:val="2"/>
    <w:qFormat/>
    <w:uiPriority w:val="0"/>
    <w:pPr>
      <w:spacing w:before="60" w:after="60"/>
      <w:ind w:left="0" w:leftChars="0"/>
    </w:pPr>
    <w:rPr>
      <w:sz w:val="24"/>
    </w:rPr>
  </w:style>
  <w:style w:type="character" w:customStyle="1" w:styleId="25">
    <w:name w:val="font51"/>
    <w:basedOn w:val="19"/>
    <w:qFormat/>
    <w:uiPriority w:val="0"/>
    <w:rPr>
      <w:rFonts w:hint="eastAsia" w:ascii="宋体" w:hAnsi="宋体" w:eastAsia="宋体" w:cs="宋体"/>
      <w:color w:val="000000"/>
      <w:sz w:val="20"/>
      <w:szCs w:val="20"/>
      <w:u w:val="none"/>
    </w:rPr>
  </w:style>
  <w:style w:type="character" w:customStyle="1" w:styleId="26">
    <w:name w:val="font31"/>
    <w:basedOn w:val="19"/>
    <w:qFormat/>
    <w:uiPriority w:val="0"/>
    <w:rPr>
      <w:rFonts w:hint="eastAsia" w:ascii="宋体" w:hAnsi="宋体" w:eastAsia="宋体" w:cs="宋体"/>
      <w:color w:val="FF0000"/>
      <w:sz w:val="20"/>
      <w:szCs w:val="20"/>
      <w:u w:val="none"/>
    </w:rPr>
  </w:style>
  <w:style w:type="character" w:customStyle="1" w:styleId="27">
    <w:name w:val="font61"/>
    <w:basedOn w:val="19"/>
    <w:qFormat/>
    <w:uiPriority w:val="0"/>
    <w:rPr>
      <w:rFonts w:hint="default" w:ascii="Times New Roman" w:hAnsi="Times New Roman" w:cs="Times New Roman"/>
      <w:color w:val="000000"/>
      <w:sz w:val="21"/>
      <w:szCs w:val="21"/>
      <w:u w:val="none"/>
    </w:rPr>
  </w:style>
  <w:style w:type="character" w:customStyle="1" w:styleId="28">
    <w:name w:val="fontstyle01"/>
    <w:basedOn w:val="19"/>
    <w:qFormat/>
    <w:uiPriority w:val="0"/>
    <w:rPr>
      <w:rFonts w:hint="eastAsia" w:ascii="仿宋_GB2312" w:hAnsi="仿宋_GB2312" w:eastAsia="仿宋_GB2312"/>
      <w:color w:val="000000"/>
      <w:sz w:val="32"/>
      <w:szCs w:val="3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3489</Words>
  <Characters>3918</Characters>
  <Lines>13</Lines>
  <Paragraphs>3</Paragraphs>
  <TotalTime>6</TotalTime>
  <ScaleCrop>false</ScaleCrop>
  <LinksUpToDate>false</LinksUpToDate>
  <CharactersWithSpaces>4161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2022-08-23T03:20:00Z</dcterms:created>
  <dc:creator>wang</dc:creator>
  <cp:lastModifiedBy>LHC</cp:lastModifiedBy>
  <cp:lastPrinted>2023-04-20T07:14:00Z</cp:lastPrinted>
  <dcterms:modified xsi:type="dcterms:W3CDTF">2026-04-03T02:17:31Z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29E6D20599B84A2196DDEF3FE15E7AB0_13</vt:lpwstr>
  </property>
  <property fmtid="{D5CDD505-2E9C-101B-9397-08002B2CF9AE}" pid="4" name="KSOTemplateDocerSaveRecord">
    <vt:lpwstr>eyJoZGlkIjoiNzQyMjRlYTA1MWE2NjdmZDNiNzU0YjBlZTZlYzMyZDUiLCJ1c2VySWQiOiI1MTkyNzEzMTgifQ==</vt:lpwstr>
  </property>
</Properties>
</file>