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76208">
      <w:pPr>
        <w:spacing w:line="360" w:lineRule="auto"/>
        <w:jc w:val="center"/>
        <w:rPr>
          <w:rFonts w:hint="eastAsia" w:ascii="宋体" w:hAnsi="宋体" w:cs="宋体"/>
          <w:b/>
          <w:color w:val="auto"/>
          <w:sz w:val="32"/>
          <w:szCs w:val="32"/>
          <w:lang w:eastAsia="zh-CN"/>
        </w:rPr>
      </w:pPr>
      <w:bookmarkStart w:id="0" w:name="_GoBack"/>
      <w:r>
        <w:rPr>
          <w:rFonts w:hint="eastAsia" w:ascii="宋体" w:hAnsi="宋体" w:cs="宋体"/>
          <w:b/>
          <w:color w:val="auto"/>
          <w:sz w:val="32"/>
          <w:szCs w:val="32"/>
          <w:lang w:val="en-US" w:eastAsia="zh-CN"/>
        </w:rPr>
        <w:t>2024年启东市汇龙镇代管小区分类垃圾房采购建设项目</w:t>
      </w:r>
    </w:p>
    <w:p w14:paraId="306E6111">
      <w:pPr>
        <w:spacing w:line="360" w:lineRule="auto"/>
        <w:jc w:val="center"/>
        <w:rPr>
          <w:rFonts w:ascii="宋体" w:hAnsi="宋体" w:cs="宋体"/>
          <w:b/>
          <w:color w:val="auto"/>
          <w:sz w:val="32"/>
          <w:szCs w:val="32"/>
        </w:rPr>
      </w:pPr>
      <w:r>
        <w:rPr>
          <w:rFonts w:hint="eastAsia" w:ascii="宋体" w:hAnsi="宋体" w:cs="宋体"/>
          <w:b/>
          <w:color w:val="auto"/>
          <w:sz w:val="32"/>
          <w:szCs w:val="32"/>
        </w:rPr>
        <w:t>市场询价公告</w:t>
      </w:r>
    </w:p>
    <w:p w14:paraId="5CA5205B">
      <w:pPr>
        <w:spacing w:line="440" w:lineRule="exact"/>
        <w:ind w:firstLine="420" w:firstLineChars="200"/>
        <w:rPr>
          <w:color w:val="auto"/>
        </w:rPr>
      </w:pPr>
    </w:p>
    <w:p w14:paraId="12FD2122">
      <w:pPr>
        <w:snapToGrid w:val="0"/>
        <w:spacing w:line="5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2024年启东市汇龙镇代管小区分类垃圾房采购建设项目</w:t>
      </w:r>
      <w:r>
        <w:rPr>
          <w:rFonts w:hint="eastAsia" w:ascii="宋体" w:hAnsi="宋体" w:eastAsia="宋体"/>
          <w:color w:val="auto"/>
          <w:sz w:val="24"/>
          <w:szCs w:val="24"/>
        </w:rPr>
        <w:t>即将实施，现就该项目进行市场询价调研。</w:t>
      </w:r>
    </w:p>
    <w:p w14:paraId="4349D98E">
      <w:pPr>
        <w:spacing w:line="440" w:lineRule="exact"/>
        <w:ind w:firstLine="482" w:firstLineChars="200"/>
        <w:jc w:val="left"/>
        <w:rPr>
          <w:rFonts w:hint="eastAsia" w:ascii="宋体" w:hAnsi="宋体" w:eastAsia="宋体" w:cs="黑体"/>
          <w:b/>
          <w:bCs/>
          <w:color w:val="auto"/>
          <w:sz w:val="24"/>
          <w:szCs w:val="24"/>
          <w:lang w:eastAsia="zh-CN"/>
        </w:rPr>
      </w:pPr>
      <w:r>
        <w:rPr>
          <w:rFonts w:hint="eastAsia" w:ascii="宋体" w:hAnsi="宋体" w:cs="黑体"/>
          <w:b/>
          <w:bCs/>
          <w:color w:val="auto"/>
          <w:sz w:val="24"/>
          <w:szCs w:val="24"/>
        </w:rPr>
        <w:t>一、项目</w:t>
      </w:r>
      <w:r>
        <w:rPr>
          <w:rFonts w:hint="eastAsia" w:ascii="宋体" w:hAnsi="宋体" w:cs="黑体"/>
          <w:b/>
          <w:bCs/>
          <w:color w:val="auto"/>
          <w:sz w:val="24"/>
          <w:szCs w:val="24"/>
          <w:lang w:val="en-US" w:eastAsia="zh-CN"/>
        </w:rPr>
        <w:t>需求</w:t>
      </w:r>
    </w:p>
    <w:p w14:paraId="1DEC8A34">
      <w:pPr>
        <w:spacing w:line="440" w:lineRule="exact"/>
        <w:ind w:firstLine="482" w:firstLineChars="200"/>
        <w:jc w:val="left"/>
        <w:rPr>
          <w:rFonts w:ascii="宋体" w:hAnsi="宋体" w:cs="黑体"/>
          <w:b/>
          <w:bCs/>
          <w:color w:val="auto"/>
          <w:sz w:val="24"/>
          <w:szCs w:val="24"/>
        </w:rPr>
      </w:pPr>
      <w:r>
        <w:rPr>
          <w:rFonts w:hint="eastAsia" w:ascii="宋体" w:hAnsi="宋体" w:cs="黑体"/>
          <w:b/>
          <w:bCs/>
          <w:color w:val="auto"/>
          <w:sz w:val="24"/>
          <w:szCs w:val="24"/>
        </w:rPr>
        <w:t>（一）项目基本概况</w:t>
      </w:r>
    </w:p>
    <w:p w14:paraId="5F734B62">
      <w:pPr>
        <w:snapToGrid w:val="0"/>
        <w:spacing w:line="500" w:lineRule="exact"/>
        <w:ind w:firstLine="480" w:firstLineChars="200"/>
        <w:rPr>
          <w:rFonts w:hint="eastAsia" w:ascii="宋体" w:hAnsi="宋体" w:eastAsia="宋体"/>
          <w:color w:val="auto"/>
          <w:sz w:val="28"/>
          <w:szCs w:val="28"/>
        </w:rPr>
      </w:pPr>
      <w:r>
        <w:rPr>
          <w:rFonts w:hint="eastAsia" w:ascii="宋体" w:hAnsi="宋体" w:eastAsia="宋体"/>
          <w:color w:val="auto"/>
          <w:sz w:val="24"/>
          <w:szCs w:val="24"/>
        </w:rPr>
        <w:t>本项目为2024年启东市汇龙镇代管小区分类垃圾房采购建设项</w:t>
      </w:r>
      <w:r>
        <w:rPr>
          <w:rFonts w:hint="eastAsia" w:ascii="宋体" w:hAnsi="宋体" w:eastAsia="宋体"/>
          <w:color w:val="auto"/>
          <w:sz w:val="24"/>
          <w:szCs w:val="24"/>
        </w:rPr>
        <w:t>目，</w:t>
      </w:r>
      <w:r>
        <w:rPr>
          <w:rFonts w:hint="eastAsia" w:ascii="宋体" w:hAnsi="宋体" w:eastAsia="宋体"/>
          <w:color w:val="auto"/>
          <w:sz w:val="24"/>
          <w:szCs w:val="24"/>
        </w:rPr>
        <w:t>根据</w:t>
      </w:r>
      <w:r>
        <w:rPr>
          <w:rFonts w:hint="eastAsia" w:ascii="宋体" w:hAnsi="宋体" w:eastAsia="宋体"/>
          <w:color w:val="auto"/>
          <w:sz w:val="24"/>
          <w:szCs w:val="24"/>
          <w:lang w:val="en-US" w:eastAsia="zh-CN"/>
        </w:rPr>
        <w:t>垃圾分类工作的</w:t>
      </w:r>
      <w:r>
        <w:rPr>
          <w:rFonts w:hint="eastAsia" w:ascii="宋体" w:hAnsi="宋体" w:eastAsia="宋体"/>
          <w:color w:val="auto"/>
          <w:sz w:val="24"/>
          <w:szCs w:val="24"/>
        </w:rPr>
        <w:t>要求</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见附表垃圾分类房</w:t>
      </w:r>
      <w:r>
        <w:rPr>
          <w:rFonts w:hint="eastAsia" w:ascii="宋体" w:hAnsi="宋体"/>
          <w:color w:val="auto"/>
          <w:sz w:val="24"/>
          <w:szCs w:val="24"/>
          <w:lang w:val="en-US" w:eastAsia="zh-CN"/>
        </w:rPr>
        <w:t>和单个普通垃圾分类房配套设备</w:t>
      </w:r>
      <w:r>
        <w:rPr>
          <w:rFonts w:hint="eastAsia" w:ascii="宋体" w:hAnsi="宋体" w:eastAsia="宋体"/>
          <w:color w:val="auto"/>
          <w:sz w:val="24"/>
          <w:szCs w:val="24"/>
          <w:lang w:val="en-US" w:eastAsia="zh-CN"/>
        </w:rPr>
        <w:t>）</w:t>
      </w:r>
      <w:r>
        <w:rPr>
          <w:rFonts w:hint="eastAsia" w:ascii="宋体" w:hAnsi="宋体" w:eastAsia="宋体"/>
          <w:color w:val="auto"/>
          <w:sz w:val="24"/>
          <w:szCs w:val="24"/>
        </w:rPr>
        <w:t>,</w:t>
      </w:r>
      <w:r>
        <w:rPr>
          <w:rFonts w:hint="eastAsia" w:ascii="宋体" w:hAnsi="宋体" w:eastAsia="宋体"/>
          <w:color w:val="auto"/>
          <w:sz w:val="24"/>
          <w:szCs w:val="24"/>
        </w:rPr>
        <w:t>对辖区内的代管小区进行垃圾房建设。经现场查看,对以下小区进行垃圾房建设:</w:t>
      </w:r>
      <w:r>
        <w:rPr>
          <w:rFonts w:hint="eastAsia" w:ascii="宋体" w:hAnsi="宋体" w:eastAsia="宋体"/>
          <w:color w:val="auto"/>
          <w:sz w:val="24"/>
          <w:szCs w:val="24"/>
        </w:rPr>
        <w:t>东疆花苑、南郊家园A区、南郊家园B区、南郊家园C区、汇东新村北区(2个)、台角新村南区、台角新村北区、友谊新村,共计9个。</w:t>
      </w:r>
    </w:p>
    <w:tbl>
      <w:tblPr>
        <w:tblStyle w:val="10"/>
        <w:tblW w:w="4999"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59"/>
        <w:gridCol w:w="4261"/>
      </w:tblGrid>
      <w:tr w14:paraId="2591D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41" w:type="dxa"/>
            <w:vAlign w:val="center"/>
          </w:tcPr>
          <w:p w14:paraId="7E75AECE">
            <w:pPr>
              <w:snapToGrid w:val="0"/>
              <w:spacing w:line="500" w:lineRule="exact"/>
              <w:ind w:firstLine="480" w:firstLineChars="200"/>
              <w:jc w:val="center"/>
              <w:rPr>
                <w:rFonts w:hint="eastAsia" w:ascii="宋体" w:hAnsi="宋体" w:eastAsia="宋体"/>
                <w:color w:val="auto"/>
                <w:sz w:val="24"/>
                <w:szCs w:val="24"/>
              </w:rPr>
            </w:pPr>
            <w:r>
              <w:rPr>
                <w:rFonts w:hint="eastAsia" w:ascii="宋体" w:hAnsi="宋体" w:eastAsia="宋体"/>
                <w:color w:val="auto"/>
                <w:sz w:val="24"/>
                <w:szCs w:val="24"/>
              </w:rPr>
              <w:t>类型</w:t>
            </w:r>
          </w:p>
        </w:tc>
        <w:tc>
          <w:tcPr>
            <w:tcW w:w="4644" w:type="dxa"/>
            <w:vAlign w:val="center"/>
          </w:tcPr>
          <w:p w14:paraId="3CA2FC69">
            <w:pPr>
              <w:snapToGrid w:val="0"/>
              <w:spacing w:line="500" w:lineRule="exact"/>
              <w:ind w:firstLine="480" w:firstLineChars="200"/>
              <w:jc w:val="center"/>
              <w:rPr>
                <w:rFonts w:hint="eastAsia" w:ascii="宋体" w:hAnsi="宋体" w:eastAsia="宋体"/>
                <w:color w:val="auto"/>
                <w:sz w:val="24"/>
                <w:szCs w:val="24"/>
              </w:rPr>
            </w:pPr>
            <w:r>
              <w:rPr>
                <w:rFonts w:hint="eastAsia" w:ascii="宋体" w:hAnsi="宋体" w:eastAsia="宋体"/>
                <w:color w:val="auto"/>
                <w:sz w:val="24"/>
                <w:szCs w:val="24"/>
              </w:rPr>
              <w:t>采购数量</w:t>
            </w:r>
          </w:p>
        </w:tc>
      </w:tr>
      <w:tr w14:paraId="6B87C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41" w:type="dxa"/>
            <w:vAlign w:val="center"/>
          </w:tcPr>
          <w:p w14:paraId="1F645F95">
            <w:pPr>
              <w:snapToGrid w:val="0"/>
              <w:spacing w:line="500" w:lineRule="exact"/>
              <w:ind w:firstLine="480" w:firstLineChars="200"/>
              <w:jc w:val="center"/>
              <w:rPr>
                <w:rFonts w:hint="eastAsia" w:ascii="宋体" w:hAnsi="宋体" w:eastAsia="宋体"/>
                <w:color w:val="auto"/>
                <w:sz w:val="24"/>
                <w:szCs w:val="24"/>
              </w:rPr>
            </w:pPr>
            <w:r>
              <w:rPr>
                <w:rFonts w:hint="eastAsia" w:ascii="宋体" w:hAnsi="宋体" w:eastAsia="宋体"/>
                <w:color w:val="auto"/>
                <w:sz w:val="24"/>
                <w:szCs w:val="24"/>
              </w:rPr>
              <w:t>普通垃圾分类房</w:t>
            </w:r>
          </w:p>
        </w:tc>
        <w:tc>
          <w:tcPr>
            <w:tcW w:w="4644" w:type="dxa"/>
            <w:vAlign w:val="center"/>
          </w:tcPr>
          <w:p w14:paraId="43DC34CE">
            <w:pPr>
              <w:snapToGrid w:val="0"/>
              <w:spacing w:line="500" w:lineRule="exact"/>
              <w:ind w:firstLine="480" w:firstLineChars="200"/>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约9</w:t>
            </w:r>
            <w:r>
              <w:rPr>
                <w:rFonts w:hint="eastAsia" w:ascii="宋体" w:hAnsi="宋体" w:eastAsia="宋体"/>
                <w:color w:val="auto"/>
                <w:sz w:val="24"/>
                <w:szCs w:val="24"/>
              </w:rPr>
              <w:t>座</w:t>
            </w:r>
          </w:p>
        </w:tc>
      </w:tr>
    </w:tbl>
    <w:p w14:paraId="20CE7124">
      <w:pPr>
        <w:pStyle w:val="31"/>
        <w:rPr>
          <w:rFonts w:hint="eastAsia"/>
          <w:color w:val="auto"/>
          <w:lang w:val="en-US" w:eastAsia="zh-CN"/>
        </w:rPr>
      </w:pPr>
    </w:p>
    <w:p w14:paraId="7E530E97">
      <w:pPr>
        <w:snapToGrid w:val="0"/>
        <w:spacing w:line="240" w:lineRule="auto"/>
        <w:rPr>
          <w:rFonts w:hint="eastAsia" w:ascii="宋体" w:hAnsi="宋体" w:eastAsia="宋体"/>
          <w:b/>
          <w:bCs/>
          <w:color w:val="auto"/>
          <w:sz w:val="28"/>
          <w:szCs w:val="28"/>
        </w:rPr>
      </w:pPr>
      <w:r>
        <w:rPr>
          <w:rFonts w:hint="eastAsia" w:ascii="宋体" w:hAnsi="宋体" w:eastAsia="宋体"/>
          <w:b/>
          <w:bCs/>
          <w:color w:val="auto"/>
          <w:sz w:val="28"/>
          <w:szCs w:val="28"/>
        </w:rPr>
        <w:t>普通垃圾分类房参考图如下：</w:t>
      </w:r>
    </w:p>
    <w:p w14:paraId="71218E1A">
      <w:pPr>
        <w:snapToGrid w:val="0"/>
        <w:spacing w:line="240" w:lineRule="auto"/>
        <w:rPr>
          <w:rFonts w:hint="eastAsia" w:ascii="宋体" w:hAnsi="宋体" w:eastAsia="宋体"/>
          <w:b/>
          <w:bCs/>
          <w:color w:val="auto"/>
          <w:sz w:val="28"/>
          <w:szCs w:val="28"/>
          <w:lang w:eastAsia="zh-CN"/>
        </w:rPr>
      </w:pPr>
      <w:r>
        <w:rPr>
          <w:rFonts w:hint="eastAsia" w:ascii="宋体" w:hAnsi="宋体" w:eastAsia="宋体"/>
          <w:b/>
          <w:bCs/>
          <w:color w:val="auto"/>
          <w:sz w:val="28"/>
          <w:szCs w:val="28"/>
          <w:lang w:eastAsia="zh-CN"/>
        </w:rPr>
        <w:drawing>
          <wp:inline distT="0" distB="0" distL="0" distR="0">
            <wp:extent cx="5098415" cy="3560445"/>
            <wp:effectExtent l="0" t="0" r="6985" b="1905"/>
            <wp:docPr id="1" name="_x0000_i1026"/>
            <wp:cNvGraphicFramePr/>
            <a:graphic xmlns:a="http://schemas.openxmlformats.org/drawingml/2006/main">
              <a:graphicData uri="http://schemas.openxmlformats.org/drawingml/2006/picture">
                <pic:pic xmlns:pic="http://schemas.openxmlformats.org/drawingml/2006/picture">
                  <pic:nvPicPr>
                    <pic:cNvPr id="1" name="_x0000_i1026"/>
                    <pic:cNvPicPr/>
                  </pic:nvPicPr>
                  <pic:blipFill>
                    <a:blip r:embed="rId5"/>
                    <a:stretch>
                      <a:fillRect/>
                    </a:stretch>
                  </pic:blipFill>
                  <pic:spPr>
                    <a:xfrm>
                      <a:off x="0" y="0"/>
                      <a:ext cx="5098415" cy="3560445"/>
                    </a:xfrm>
                    <a:prstGeom prst="rect">
                      <a:avLst/>
                    </a:prstGeom>
                  </pic:spPr>
                </pic:pic>
              </a:graphicData>
            </a:graphic>
          </wp:inline>
        </w:drawing>
      </w:r>
    </w:p>
    <w:p w14:paraId="246894B2">
      <w:pPr>
        <w:spacing w:line="440" w:lineRule="exact"/>
        <w:ind w:firstLine="562" w:firstLineChars="200"/>
        <w:jc w:val="left"/>
        <w:rPr>
          <w:rFonts w:ascii="宋体" w:hAnsi="宋体" w:cs="黑体"/>
          <w:color w:val="auto"/>
          <w:sz w:val="24"/>
          <w:szCs w:val="24"/>
        </w:rPr>
      </w:pPr>
      <w:r>
        <w:rPr>
          <w:rFonts w:hint="eastAsia" w:ascii="宋体" w:hAnsi="宋体" w:eastAsia="宋体"/>
          <w:b/>
          <w:bCs/>
          <w:color w:val="auto"/>
          <w:kern w:val="2"/>
          <w:sz w:val="28"/>
          <w:szCs w:val="28"/>
          <w:lang w:val="en-US" w:eastAsia="zh-CN"/>
        </w:rPr>
        <w:t>注：</w:t>
      </w:r>
      <w:r>
        <w:rPr>
          <w:rFonts w:hint="eastAsia" w:ascii="宋体" w:hAnsi="宋体" w:eastAsia="宋体"/>
          <w:b/>
          <w:bCs/>
          <w:color w:val="auto"/>
          <w:kern w:val="2"/>
          <w:sz w:val="28"/>
          <w:szCs w:val="28"/>
        </w:rPr>
        <w:t>洗手池外置侧向固定于房体一侧，与出入口卷帘门同侧，也</w:t>
      </w:r>
      <w:r>
        <w:rPr>
          <w:rFonts w:hint="eastAsia" w:ascii="宋体" w:hAnsi="宋体" w:eastAsia="宋体"/>
          <w:b/>
          <w:bCs/>
          <w:color w:val="auto"/>
          <w:kern w:val="2"/>
          <w:sz w:val="24"/>
          <w:szCs w:val="24"/>
        </w:rPr>
        <w:t>可根据现场条件调整</w:t>
      </w:r>
      <w:r>
        <w:rPr>
          <w:rFonts w:hint="eastAsia" w:ascii="宋体" w:hAnsi="宋体"/>
          <w:b/>
          <w:bCs/>
          <w:color w:val="auto"/>
          <w:kern w:val="2"/>
          <w:sz w:val="24"/>
          <w:szCs w:val="24"/>
          <w:lang w:eastAsia="zh-CN"/>
        </w:rPr>
        <w:t>。</w:t>
      </w:r>
    </w:p>
    <w:p w14:paraId="4B1C1204">
      <w:pPr>
        <w:spacing w:line="440" w:lineRule="exact"/>
        <w:ind w:firstLine="482" w:firstLineChars="200"/>
        <w:jc w:val="left"/>
        <w:rPr>
          <w:rFonts w:hint="eastAsia" w:ascii="宋体" w:hAnsi="宋体" w:cs="黑体"/>
          <w:b/>
          <w:bCs/>
          <w:color w:val="auto"/>
          <w:sz w:val="24"/>
          <w:szCs w:val="24"/>
          <w:lang w:val="en-US" w:eastAsia="zh-CN"/>
        </w:rPr>
      </w:pPr>
      <w:r>
        <w:rPr>
          <w:rFonts w:hint="eastAsia" w:ascii="宋体" w:hAnsi="宋体" w:cs="黑体"/>
          <w:b/>
          <w:bCs/>
          <w:color w:val="auto"/>
          <w:sz w:val="24"/>
          <w:szCs w:val="24"/>
        </w:rPr>
        <w:t>（</w:t>
      </w:r>
      <w:r>
        <w:rPr>
          <w:rFonts w:hint="eastAsia" w:ascii="宋体" w:hAnsi="宋体" w:cs="黑体"/>
          <w:b/>
          <w:bCs/>
          <w:color w:val="auto"/>
          <w:sz w:val="24"/>
          <w:szCs w:val="24"/>
          <w:lang w:val="en-US" w:eastAsia="zh-CN"/>
        </w:rPr>
        <w:t>二</w:t>
      </w:r>
      <w:r>
        <w:rPr>
          <w:rFonts w:hint="eastAsia" w:ascii="宋体" w:hAnsi="宋体" w:cs="黑体"/>
          <w:b/>
          <w:bCs/>
          <w:color w:val="auto"/>
          <w:sz w:val="24"/>
          <w:szCs w:val="24"/>
        </w:rPr>
        <w:t>）配置清单</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28"/>
        <w:gridCol w:w="5694"/>
      </w:tblGrid>
      <w:tr w14:paraId="0E14B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078F548">
            <w:pPr>
              <w:snapToGrid w:val="0"/>
              <w:spacing w:line="500" w:lineRule="exact"/>
              <w:jc w:val="center"/>
              <w:rPr>
                <w:rFonts w:hint="eastAsia" w:ascii="宋体" w:hAnsi="宋体" w:eastAsia="宋体"/>
                <w:color w:val="auto"/>
                <w:sz w:val="24"/>
                <w:szCs w:val="24"/>
              </w:rPr>
            </w:pPr>
            <w:r>
              <w:rPr>
                <w:rFonts w:hint="eastAsia" w:ascii="宋体" w:hAnsi="宋体" w:eastAsia="宋体"/>
                <w:color w:val="auto"/>
                <w:sz w:val="24"/>
                <w:szCs w:val="24"/>
              </w:rPr>
              <w:t>普通垃圾分类房</w:t>
            </w:r>
          </w:p>
        </w:tc>
      </w:tr>
      <w:tr w14:paraId="2A7EE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28" w:type="dxa"/>
            <w:vAlign w:val="center"/>
          </w:tcPr>
          <w:p w14:paraId="1FB49796">
            <w:pPr>
              <w:snapToGrid w:val="0"/>
              <w:spacing w:line="500" w:lineRule="exact"/>
              <w:jc w:val="center"/>
              <w:rPr>
                <w:rFonts w:hint="eastAsia" w:ascii="宋体" w:hAnsi="宋体" w:eastAsia="宋体"/>
                <w:color w:val="auto"/>
                <w:sz w:val="24"/>
                <w:szCs w:val="24"/>
              </w:rPr>
            </w:pPr>
            <w:r>
              <w:rPr>
                <w:rFonts w:hint="eastAsia" w:ascii="宋体" w:hAnsi="宋体" w:eastAsia="宋体"/>
                <w:color w:val="auto"/>
                <w:sz w:val="24"/>
                <w:szCs w:val="24"/>
              </w:rPr>
              <w:t>数量（座）</w:t>
            </w:r>
          </w:p>
        </w:tc>
        <w:tc>
          <w:tcPr>
            <w:tcW w:w="2171" w:type="dxa"/>
            <w:vAlign w:val="center"/>
          </w:tcPr>
          <w:p w14:paraId="044EB0CF">
            <w:pPr>
              <w:snapToGrid w:val="0"/>
              <w:spacing w:line="500" w:lineRule="exact"/>
              <w:jc w:val="center"/>
              <w:rPr>
                <w:rFonts w:hint="eastAsia" w:ascii="宋体" w:hAnsi="宋体" w:eastAsia="宋体"/>
                <w:color w:val="auto"/>
                <w:sz w:val="24"/>
                <w:szCs w:val="24"/>
              </w:rPr>
            </w:pPr>
            <w:r>
              <w:rPr>
                <w:rFonts w:hint="eastAsia" w:ascii="宋体" w:hAnsi="宋体" w:eastAsia="宋体"/>
                <w:color w:val="auto"/>
                <w:sz w:val="24"/>
                <w:szCs w:val="24"/>
              </w:rPr>
              <w:t>备注</w:t>
            </w:r>
          </w:p>
        </w:tc>
      </w:tr>
      <w:tr w14:paraId="0C7F0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28" w:type="dxa"/>
            <w:vAlign w:val="center"/>
          </w:tcPr>
          <w:p w14:paraId="1A6A81A1">
            <w:pPr>
              <w:snapToGrid w:val="0"/>
              <w:spacing w:line="500" w:lineRule="exact"/>
              <w:jc w:val="center"/>
              <w:rPr>
                <w:rFonts w:hint="eastAsia" w:ascii="宋体" w:hAnsi="宋体" w:eastAsia="宋体"/>
                <w:color w:val="auto"/>
                <w:sz w:val="24"/>
                <w:szCs w:val="24"/>
              </w:rPr>
            </w:pPr>
            <w:r>
              <w:rPr>
                <w:rFonts w:hint="eastAsia" w:ascii="宋体" w:hAnsi="宋体" w:eastAsia="宋体"/>
                <w:color w:val="auto"/>
                <w:sz w:val="24"/>
                <w:szCs w:val="24"/>
              </w:rPr>
              <w:t>约</w:t>
            </w:r>
            <w:r>
              <w:rPr>
                <w:rFonts w:hint="eastAsia" w:ascii="宋体" w:hAnsi="宋体"/>
                <w:color w:val="auto"/>
                <w:sz w:val="24"/>
                <w:szCs w:val="24"/>
                <w:lang w:val="en-US" w:eastAsia="zh-CN"/>
              </w:rPr>
              <w:t>9</w:t>
            </w:r>
            <w:r>
              <w:rPr>
                <w:rFonts w:hint="eastAsia" w:ascii="宋体" w:hAnsi="宋体" w:eastAsia="宋体"/>
                <w:color w:val="auto"/>
                <w:sz w:val="24"/>
                <w:szCs w:val="24"/>
              </w:rPr>
              <w:t>座</w:t>
            </w:r>
          </w:p>
        </w:tc>
        <w:tc>
          <w:tcPr>
            <w:tcW w:w="2171" w:type="dxa"/>
            <w:vAlign w:val="center"/>
          </w:tcPr>
          <w:p w14:paraId="4F15EADF">
            <w:pPr>
              <w:snapToGrid w:val="0"/>
              <w:spacing w:line="500" w:lineRule="exact"/>
              <w:jc w:val="center"/>
              <w:rPr>
                <w:rFonts w:hint="eastAsia" w:ascii="宋体" w:hAnsi="宋体" w:eastAsia="宋体"/>
                <w:color w:val="auto"/>
                <w:sz w:val="24"/>
                <w:szCs w:val="24"/>
              </w:rPr>
            </w:pPr>
            <w:r>
              <w:rPr>
                <w:rFonts w:hint="eastAsia" w:ascii="宋体" w:hAnsi="宋体" w:eastAsia="宋体"/>
                <w:color w:val="auto"/>
                <w:sz w:val="24"/>
                <w:szCs w:val="24"/>
              </w:rPr>
              <w:t>参考面积约</w:t>
            </w:r>
            <w:r>
              <w:rPr>
                <w:rFonts w:hint="eastAsia" w:ascii="宋体" w:hAnsi="宋体"/>
                <w:color w:val="auto"/>
                <w:sz w:val="24"/>
                <w:szCs w:val="24"/>
                <w:lang w:val="en-US" w:eastAsia="zh-CN"/>
              </w:rPr>
              <w:t>15</w:t>
            </w:r>
            <w:r>
              <w:rPr>
                <w:rFonts w:hint="eastAsia" w:ascii="宋体" w:hAnsi="宋体" w:eastAsia="宋体"/>
                <w:color w:val="auto"/>
                <w:sz w:val="24"/>
                <w:szCs w:val="24"/>
              </w:rPr>
              <w:t>㎡</w:t>
            </w:r>
          </w:p>
        </w:tc>
      </w:tr>
    </w:tbl>
    <w:p w14:paraId="6E884194">
      <w:pPr>
        <w:keepNext w:val="0"/>
        <w:keepLines w:val="0"/>
        <w:pageBreakBefore w:val="0"/>
        <w:widowControl w:val="0"/>
        <w:kinsoku/>
        <w:wordWrap/>
        <w:overflowPunct/>
        <w:topLinePunct w:val="0"/>
        <w:autoSpaceDE/>
        <w:autoSpaceDN/>
        <w:bidi w:val="0"/>
        <w:snapToGrid w:val="0"/>
        <w:spacing w:line="48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考虑到垃圾分类房落地时，对场地面积要求较高，上述各类型垃圾分类房数量为暂定，仅供参考，后期采购人可能根据实际落地情况，调整垃圾分类房数量、面积及种类，中标人必须无条件服从。</w:t>
      </w:r>
    </w:p>
    <w:p w14:paraId="5CC20911">
      <w:pPr>
        <w:spacing w:line="440" w:lineRule="exact"/>
        <w:ind w:firstLine="482" w:firstLineChars="200"/>
        <w:jc w:val="left"/>
        <w:rPr>
          <w:rFonts w:hint="eastAsia" w:ascii="宋体" w:hAnsi="宋体" w:eastAsia="宋体" w:cs="黑体"/>
          <w:b/>
          <w:bCs/>
          <w:color w:val="auto"/>
          <w:sz w:val="24"/>
          <w:szCs w:val="24"/>
          <w:lang w:val="en-US" w:eastAsia="zh-CN"/>
        </w:rPr>
      </w:pPr>
      <w:r>
        <w:rPr>
          <w:rFonts w:hint="eastAsia" w:ascii="宋体" w:hAnsi="宋体" w:cs="黑体"/>
          <w:b/>
          <w:bCs/>
          <w:color w:val="auto"/>
          <w:sz w:val="24"/>
          <w:szCs w:val="24"/>
        </w:rPr>
        <w:t>（</w:t>
      </w:r>
      <w:r>
        <w:rPr>
          <w:rFonts w:hint="eastAsia" w:ascii="宋体" w:hAnsi="宋体" w:cs="黑体"/>
          <w:b/>
          <w:bCs/>
          <w:color w:val="auto"/>
          <w:sz w:val="24"/>
          <w:szCs w:val="24"/>
          <w:lang w:val="en-US" w:eastAsia="zh-CN"/>
        </w:rPr>
        <w:t>三</w:t>
      </w:r>
      <w:r>
        <w:rPr>
          <w:rFonts w:hint="eastAsia" w:ascii="宋体" w:hAnsi="宋体" w:cs="黑体"/>
          <w:b/>
          <w:bCs/>
          <w:color w:val="auto"/>
          <w:sz w:val="24"/>
          <w:szCs w:val="24"/>
        </w:rPr>
        <w:t>）产品技术参数及功能要求</w:t>
      </w:r>
    </w:p>
    <w:p w14:paraId="08873A9F">
      <w:pPr>
        <w:snapToGrid w:val="0"/>
        <w:spacing w:line="500" w:lineRule="exact"/>
        <w:jc w:val="center"/>
        <w:rPr>
          <w:rFonts w:hint="eastAsia" w:ascii="宋体" w:hAnsi="宋体" w:eastAsia="宋体"/>
          <w:b/>
          <w:bCs/>
          <w:color w:val="auto"/>
          <w:sz w:val="24"/>
          <w:szCs w:val="24"/>
        </w:rPr>
      </w:pPr>
      <w:r>
        <w:rPr>
          <w:rFonts w:hint="eastAsia" w:ascii="宋体" w:hAnsi="宋体" w:eastAsia="宋体"/>
          <w:b/>
          <w:bCs/>
          <w:color w:val="auto"/>
          <w:sz w:val="24"/>
          <w:szCs w:val="24"/>
        </w:rPr>
        <w:t>垃圾分类房</w:t>
      </w:r>
    </w:p>
    <w:tbl>
      <w:tblPr>
        <w:tblStyle w:val="10"/>
        <w:tblW w:w="53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1173"/>
        <w:gridCol w:w="7213"/>
      </w:tblGrid>
      <w:tr w14:paraId="24BB0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8" w:type="dxa"/>
            <w:vAlign w:val="center"/>
          </w:tcPr>
          <w:p w14:paraId="59682CEA">
            <w:pPr>
              <w:snapToGrid w:val="0"/>
              <w:spacing w:line="500" w:lineRule="exact"/>
              <w:rPr>
                <w:rFonts w:hint="eastAsia" w:ascii="宋体" w:hAnsi="宋体" w:eastAsia="宋体"/>
                <w:color w:val="auto"/>
                <w:szCs w:val="21"/>
              </w:rPr>
            </w:pPr>
            <w:r>
              <w:rPr>
                <w:rFonts w:hint="eastAsia" w:ascii="宋体" w:hAnsi="宋体" w:eastAsia="宋体"/>
                <w:color w:val="auto"/>
                <w:szCs w:val="21"/>
              </w:rPr>
              <w:t>序号</w:t>
            </w:r>
          </w:p>
        </w:tc>
        <w:tc>
          <w:tcPr>
            <w:tcW w:w="638" w:type="dxa"/>
            <w:vAlign w:val="center"/>
          </w:tcPr>
          <w:p w14:paraId="076CA811">
            <w:pPr>
              <w:snapToGrid w:val="0"/>
              <w:spacing w:line="500" w:lineRule="exact"/>
              <w:rPr>
                <w:rFonts w:hint="eastAsia" w:ascii="宋体" w:hAnsi="宋体" w:eastAsia="宋体"/>
                <w:color w:val="auto"/>
                <w:szCs w:val="21"/>
              </w:rPr>
            </w:pPr>
            <w:r>
              <w:rPr>
                <w:rFonts w:hint="eastAsia" w:ascii="宋体" w:hAnsi="宋体" w:eastAsia="宋体"/>
                <w:color w:val="auto"/>
                <w:szCs w:val="21"/>
              </w:rPr>
              <w:t>名称</w:t>
            </w:r>
          </w:p>
        </w:tc>
        <w:tc>
          <w:tcPr>
            <w:tcW w:w="3922" w:type="dxa"/>
            <w:vAlign w:val="center"/>
          </w:tcPr>
          <w:p w14:paraId="7BABAAC7">
            <w:pPr>
              <w:snapToGrid w:val="0"/>
              <w:spacing w:line="500" w:lineRule="exact"/>
              <w:rPr>
                <w:rFonts w:hint="eastAsia" w:ascii="宋体" w:hAnsi="宋体" w:eastAsia="宋体"/>
                <w:color w:val="auto"/>
                <w:szCs w:val="21"/>
              </w:rPr>
            </w:pPr>
            <w:r>
              <w:rPr>
                <w:rFonts w:hint="eastAsia" w:ascii="宋体" w:hAnsi="宋体" w:eastAsia="宋体"/>
                <w:color w:val="auto"/>
                <w:szCs w:val="21"/>
              </w:rPr>
              <w:t>规格、技术参数及功能要求</w:t>
            </w:r>
          </w:p>
        </w:tc>
      </w:tr>
      <w:tr w14:paraId="56B19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8" w:type="dxa"/>
            <w:vMerge w:val="restart"/>
            <w:vAlign w:val="center"/>
          </w:tcPr>
          <w:p w14:paraId="66A2F08D">
            <w:pPr>
              <w:snapToGrid w:val="0"/>
              <w:spacing w:line="500" w:lineRule="exact"/>
              <w:rPr>
                <w:rFonts w:hint="eastAsia" w:ascii="宋体" w:hAnsi="宋体" w:eastAsia="宋体"/>
                <w:color w:val="auto"/>
                <w:szCs w:val="21"/>
              </w:rPr>
            </w:pPr>
          </w:p>
          <w:p w14:paraId="3E477E52">
            <w:pPr>
              <w:snapToGrid w:val="0"/>
              <w:spacing w:line="500" w:lineRule="exact"/>
              <w:rPr>
                <w:rFonts w:hint="eastAsia" w:ascii="宋体" w:hAnsi="宋体" w:eastAsia="宋体"/>
                <w:color w:val="auto"/>
                <w:szCs w:val="21"/>
              </w:rPr>
            </w:pPr>
          </w:p>
          <w:p w14:paraId="1648A764">
            <w:pPr>
              <w:snapToGrid w:val="0"/>
              <w:spacing w:line="500" w:lineRule="exact"/>
              <w:rPr>
                <w:rFonts w:hint="eastAsia" w:ascii="宋体" w:hAnsi="宋体" w:eastAsia="宋体"/>
                <w:color w:val="auto"/>
                <w:szCs w:val="21"/>
              </w:rPr>
            </w:pPr>
            <w:r>
              <w:rPr>
                <w:rFonts w:hint="eastAsia" w:ascii="宋体" w:hAnsi="宋体" w:eastAsia="宋体"/>
                <w:color w:val="auto"/>
                <w:szCs w:val="21"/>
              </w:rPr>
              <w:t>1</w:t>
            </w:r>
          </w:p>
        </w:tc>
        <w:tc>
          <w:tcPr>
            <w:tcW w:w="638" w:type="dxa"/>
            <w:vMerge w:val="restart"/>
            <w:vAlign w:val="center"/>
          </w:tcPr>
          <w:p w14:paraId="4ACFA2D8">
            <w:pPr>
              <w:snapToGrid w:val="0"/>
              <w:spacing w:line="500" w:lineRule="exact"/>
              <w:rPr>
                <w:rFonts w:hint="eastAsia" w:ascii="宋体" w:hAnsi="宋体" w:eastAsia="宋体"/>
                <w:color w:val="auto"/>
                <w:szCs w:val="21"/>
              </w:rPr>
            </w:pPr>
          </w:p>
          <w:p w14:paraId="0F55583E">
            <w:pPr>
              <w:snapToGrid w:val="0"/>
              <w:spacing w:line="500" w:lineRule="exact"/>
              <w:rPr>
                <w:rFonts w:hint="eastAsia" w:ascii="宋体" w:hAnsi="宋体" w:eastAsia="宋体"/>
                <w:color w:val="auto"/>
                <w:szCs w:val="21"/>
              </w:rPr>
            </w:pPr>
          </w:p>
          <w:p w14:paraId="48C4B274">
            <w:pPr>
              <w:snapToGrid w:val="0"/>
              <w:spacing w:line="500" w:lineRule="exact"/>
              <w:rPr>
                <w:rFonts w:hint="eastAsia" w:ascii="宋体" w:hAnsi="宋体" w:eastAsia="宋体"/>
                <w:color w:val="auto"/>
                <w:szCs w:val="21"/>
              </w:rPr>
            </w:pPr>
            <w:r>
              <w:rPr>
                <w:rFonts w:hint="eastAsia" w:ascii="宋体" w:hAnsi="宋体" w:eastAsia="宋体"/>
                <w:color w:val="auto"/>
                <w:szCs w:val="21"/>
              </w:rPr>
              <w:t>普通垃圾分类房基本要求</w:t>
            </w:r>
          </w:p>
        </w:tc>
        <w:tc>
          <w:tcPr>
            <w:tcW w:w="3922" w:type="dxa"/>
            <w:vAlign w:val="center"/>
          </w:tcPr>
          <w:p w14:paraId="4485FB5B">
            <w:pPr>
              <w:snapToGrid w:val="0"/>
              <w:spacing w:line="500" w:lineRule="exact"/>
              <w:rPr>
                <w:rFonts w:hint="eastAsia" w:ascii="宋体" w:hAnsi="宋体" w:eastAsia="宋体"/>
                <w:color w:val="auto"/>
                <w:szCs w:val="21"/>
              </w:rPr>
            </w:pPr>
            <w:r>
              <w:rPr>
                <w:rFonts w:hint="eastAsia" w:ascii="宋体" w:hAnsi="宋体" w:eastAsia="宋体"/>
                <w:color w:val="auto"/>
                <w:szCs w:val="21"/>
              </w:rPr>
              <w:t xml:space="preserve">垃圾房方案设计：每个垃圾分类房设计方案由采购方确认通过后方可进行生产安装。 </w:t>
            </w:r>
          </w:p>
        </w:tc>
      </w:tr>
      <w:tr w14:paraId="6B5C4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8" w:type="dxa"/>
            <w:vMerge w:val="continue"/>
            <w:vAlign w:val="center"/>
          </w:tcPr>
          <w:p w14:paraId="4DD5A778">
            <w:pPr>
              <w:snapToGrid w:val="0"/>
              <w:spacing w:line="500" w:lineRule="exact"/>
              <w:rPr>
                <w:rFonts w:hint="eastAsia" w:ascii="宋体" w:hAnsi="宋体" w:eastAsia="宋体"/>
                <w:color w:val="auto"/>
                <w:szCs w:val="21"/>
              </w:rPr>
            </w:pPr>
          </w:p>
        </w:tc>
        <w:tc>
          <w:tcPr>
            <w:tcW w:w="638" w:type="dxa"/>
            <w:vMerge w:val="continue"/>
            <w:vAlign w:val="center"/>
          </w:tcPr>
          <w:p w14:paraId="46CF6409">
            <w:pPr>
              <w:snapToGrid w:val="0"/>
              <w:spacing w:line="500" w:lineRule="exact"/>
              <w:rPr>
                <w:rFonts w:hint="eastAsia" w:ascii="宋体" w:hAnsi="宋体" w:eastAsia="宋体"/>
                <w:color w:val="auto"/>
                <w:szCs w:val="21"/>
              </w:rPr>
            </w:pPr>
          </w:p>
        </w:tc>
        <w:tc>
          <w:tcPr>
            <w:tcW w:w="3922" w:type="dxa"/>
            <w:vAlign w:val="top"/>
          </w:tcPr>
          <w:p w14:paraId="1308FEB2">
            <w:pPr>
              <w:snapToGrid w:val="0"/>
              <w:spacing w:line="500" w:lineRule="exact"/>
              <w:rPr>
                <w:rFonts w:hint="eastAsia" w:ascii="宋体" w:hAnsi="宋体" w:eastAsia="宋体"/>
                <w:color w:val="auto"/>
                <w:szCs w:val="21"/>
              </w:rPr>
            </w:pPr>
            <w:r>
              <w:rPr>
                <w:rFonts w:hint="eastAsia" w:ascii="宋体" w:hAnsi="宋体" w:eastAsia="宋体"/>
                <w:color w:val="auto"/>
                <w:szCs w:val="21"/>
              </w:rPr>
              <w:t>★非硬化地面的基础要求：</w:t>
            </w:r>
          </w:p>
          <w:p w14:paraId="79395FCD">
            <w:pPr>
              <w:snapToGrid w:val="0"/>
              <w:spacing w:line="500" w:lineRule="exact"/>
              <w:rPr>
                <w:rFonts w:hint="eastAsia" w:ascii="宋体" w:hAnsi="宋体" w:eastAsia="宋体"/>
                <w:color w:val="auto"/>
                <w:szCs w:val="21"/>
              </w:rPr>
            </w:pPr>
            <w:r>
              <w:rPr>
                <w:rFonts w:hint="eastAsia" w:ascii="宋体" w:hAnsi="宋体" w:eastAsia="宋体"/>
                <w:color w:val="auto"/>
                <w:szCs w:val="21"/>
              </w:rPr>
              <w:t>施工要求：开挖地面300mm，压实土层，遇到浮土、淤泥等不良地基需要清理干净，回填实土。先铺100mm的砂石垫层，再浇筑200mm的C25混凝土硬化地面，铺设50mm厚度的防滑地砖（含砂浆垫层），地砖尺寸60cm*60cm。</w:t>
            </w:r>
          </w:p>
          <w:p w14:paraId="469C54B2">
            <w:pPr>
              <w:snapToGrid w:val="0"/>
              <w:spacing w:line="500" w:lineRule="exact"/>
              <w:rPr>
                <w:rFonts w:hint="eastAsia" w:ascii="宋体" w:hAnsi="宋体" w:eastAsia="宋体"/>
                <w:color w:val="auto"/>
                <w:szCs w:val="21"/>
              </w:rPr>
            </w:pPr>
            <w:r>
              <w:rPr>
                <w:rFonts w:hint="eastAsia" w:ascii="宋体" w:hAnsi="宋体" w:eastAsia="宋体"/>
                <w:color w:val="auto"/>
                <w:szCs w:val="21"/>
              </w:rPr>
              <w:t>除入口一面，其他三面高度40cm的护坡和雨水导流槽，建成分类房周围再浇筑100mm的C25混凝土（如建设区域为现成混泥土则不需要）。</w:t>
            </w:r>
          </w:p>
          <w:p w14:paraId="1D7CA9B8">
            <w:pPr>
              <w:snapToGrid w:val="0"/>
              <w:spacing w:line="500" w:lineRule="exact"/>
              <w:rPr>
                <w:rFonts w:hint="eastAsia" w:ascii="宋体" w:hAnsi="宋体" w:eastAsia="宋体"/>
                <w:color w:val="auto"/>
                <w:szCs w:val="21"/>
              </w:rPr>
            </w:pPr>
            <w:r>
              <w:rPr>
                <w:rFonts w:hint="eastAsia" w:ascii="宋体" w:hAnsi="宋体" w:eastAsia="宋体"/>
                <w:color w:val="auto"/>
                <w:szCs w:val="21"/>
              </w:rPr>
              <w:t>2、环境修复：中标方负责垃圾分类房安装过程中所产生的环境破坏（如路面、绿化等）的修复工作。</w:t>
            </w:r>
          </w:p>
          <w:p w14:paraId="4F3609E8">
            <w:pPr>
              <w:snapToGrid w:val="0"/>
              <w:spacing w:line="500" w:lineRule="exact"/>
              <w:rPr>
                <w:rFonts w:hint="eastAsia" w:ascii="宋体" w:hAnsi="宋体" w:eastAsia="宋体"/>
                <w:color w:val="auto"/>
                <w:szCs w:val="21"/>
              </w:rPr>
            </w:pPr>
            <w:r>
              <w:rPr>
                <w:rFonts w:hint="eastAsia" w:ascii="宋体" w:hAnsi="宋体" w:eastAsia="宋体"/>
                <w:color w:val="auto"/>
                <w:szCs w:val="21"/>
              </w:rPr>
              <w:t>3、注意事项：使用施工护栏对施工区域进行围护，保证施工区域内外人员安全；施工区域内原有设施需要进行安全拆除并放置至安全区域；开挖前需要进行树木移植，应提前联系绿化部门修剪枝叶，并安排好新的移植地点；土方开挖时，避免破坏施工区域及周边管道，原有管道、阀门应做好防护措施，不影响后期的使用及维护；</w:t>
            </w:r>
          </w:p>
          <w:p w14:paraId="6115364D">
            <w:pPr>
              <w:snapToGrid w:val="0"/>
              <w:spacing w:line="500" w:lineRule="exact"/>
              <w:rPr>
                <w:rFonts w:hint="eastAsia" w:ascii="宋体" w:hAnsi="宋体" w:eastAsia="宋体"/>
                <w:color w:val="auto"/>
                <w:szCs w:val="21"/>
              </w:rPr>
            </w:pPr>
            <w:r>
              <w:rPr>
                <w:rFonts w:hint="eastAsia" w:ascii="宋体" w:hAnsi="宋体" w:eastAsia="宋体"/>
                <w:color w:val="auto"/>
                <w:szCs w:val="21"/>
              </w:rPr>
              <w:t>4、废料外运：施工过程中产生的相关废料需要按各相关部门垃圾清运要求进行定时清运</w:t>
            </w:r>
            <w:r>
              <w:rPr>
                <w:rFonts w:hint="eastAsia" w:ascii="宋体" w:hAnsi="宋体"/>
                <w:color w:val="auto"/>
                <w:szCs w:val="21"/>
                <w:lang w:val="en-US" w:eastAsia="zh-CN"/>
              </w:rPr>
              <w:t>干净</w:t>
            </w:r>
            <w:r>
              <w:rPr>
                <w:rFonts w:hint="eastAsia" w:ascii="宋体" w:hAnsi="宋体" w:eastAsia="宋体"/>
                <w:color w:val="auto"/>
                <w:szCs w:val="21"/>
              </w:rPr>
              <w:t>；</w:t>
            </w:r>
          </w:p>
          <w:p w14:paraId="39303E41">
            <w:pPr>
              <w:snapToGrid w:val="0"/>
              <w:spacing w:line="500" w:lineRule="exact"/>
              <w:rPr>
                <w:rFonts w:hint="eastAsia" w:ascii="宋体" w:hAnsi="宋体" w:eastAsia="宋体"/>
                <w:color w:val="auto"/>
                <w:szCs w:val="21"/>
              </w:rPr>
            </w:pPr>
            <w:r>
              <w:rPr>
                <w:rFonts w:hint="eastAsia" w:ascii="宋体" w:hAnsi="宋体" w:eastAsia="宋体"/>
                <w:color w:val="auto"/>
                <w:szCs w:val="21"/>
              </w:rPr>
              <w:t>5、清扫保洁：施工期间每日进行清扫保洁，保证施工区域及周边5米范围的干净整洁；施工完毕，交付之前需要对</w:t>
            </w:r>
            <w:r>
              <w:rPr>
                <w:rFonts w:hint="eastAsia" w:ascii="宋体" w:hAnsi="宋体"/>
                <w:color w:val="auto"/>
                <w:szCs w:val="21"/>
                <w:lang w:eastAsia="zh-CN"/>
              </w:rPr>
              <w:t>垃圾</w:t>
            </w:r>
            <w:r>
              <w:rPr>
                <w:rFonts w:hint="eastAsia" w:ascii="宋体" w:hAnsi="宋体" w:eastAsia="宋体"/>
                <w:color w:val="auto"/>
                <w:szCs w:val="21"/>
              </w:rPr>
              <w:t>房</w:t>
            </w:r>
            <w:r>
              <w:rPr>
                <w:rFonts w:hint="eastAsia" w:ascii="宋体" w:hAnsi="宋体"/>
                <w:color w:val="auto"/>
                <w:szCs w:val="21"/>
                <w:lang w:eastAsia="zh-CN"/>
              </w:rPr>
              <w:t>整体</w:t>
            </w:r>
            <w:r>
              <w:rPr>
                <w:rFonts w:hint="eastAsia" w:ascii="宋体" w:hAnsi="宋体" w:eastAsia="宋体"/>
                <w:color w:val="auto"/>
                <w:szCs w:val="21"/>
              </w:rPr>
              <w:t>及其周边5米范围内</w:t>
            </w:r>
            <w:r>
              <w:rPr>
                <w:rFonts w:hint="eastAsia" w:ascii="宋体" w:hAnsi="宋体"/>
                <w:color w:val="auto"/>
                <w:szCs w:val="21"/>
                <w:lang w:val="en-US" w:eastAsia="zh-CN"/>
              </w:rPr>
              <w:t>和周边因施工产生的垃圾</w:t>
            </w:r>
            <w:r>
              <w:rPr>
                <w:rFonts w:hint="eastAsia" w:ascii="宋体" w:hAnsi="宋体" w:eastAsia="宋体"/>
                <w:color w:val="auto"/>
                <w:szCs w:val="21"/>
              </w:rPr>
              <w:t>进行清扫保洁及消毒杀菌，保证墙面，门窗，地面的干净整洁。</w:t>
            </w:r>
          </w:p>
        </w:tc>
      </w:tr>
      <w:tr w14:paraId="29C1E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438" w:type="dxa"/>
            <w:vMerge w:val="continue"/>
            <w:vAlign w:val="center"/>
          </w:tcPr>
          <w:p w14:paraId="19E51B3C">
            <w:pPr>
              <w:snapToGrid w:val="0"/>
              <w:spacing w:line="500" w:lineRule="exact"/>
              <w:rPr>
                <w:rFonts w:hint="eastAsia" w:ascii="宋体" w:hAnsi="宋体" w:eastAsia="宋体"/>
                <w:color w:val="auto"/>
                <w:szCs w:val="21"/>
              </w:rPr>
            </w:pPr>
          </w:p>
        </w:tc>
        <w:tc>
          <w:tcPr>
            <w:tcW w:w="638" w:type="dxa"/>
            <w:vMerge w:val="continue"/>
            <w:vAlign w:val="center"/>
          </w:tcPr>
          <w:p w14:paraId="5CCD71E7">
            <w:pPr>
              <w:snapToGrid w:val="0"/>
              <w:spacing w:line="500" w:lineRule="exact"/>
              <w:rPr>
                <w:rFonts w:hint="eastAsia" w:ascii="宋体" w:hAnsi="宋体" w:eastAsia="宋体"/>
                <w:color w:val="auto"/>
                <w:szCs w:val="21"/>
              </w:rPr>
            </w:pPr>
          </w:p>
        </w:tc>
        <w:tc>
          <w:tcPr>
            <w:tcW w:w="3922" w:type="dxa"/>
            <w:vAlign w:val="top"/>
          </w:tcPr>
          <w:p w14:paraId="34BE0570">
            <w:pPr>
              <w:snapToGrid w:val="0"/>
              <w:spacing w:line="500" w:lineRule="exact"/>
              <w:rPr>
                <w:rFonts w:hint="eastAsia" w:ascii="宋体" w:hAnsi="宋体" w:eastAsia="宋体"/>
                <w:color w:val="auto"/>
                <w:szCs w:val="21"/>
              </w:rPr>
            </w:pPr>
            <w:r>
              <w:rPr>
                <w:rFonts w:hint="eastAsia" w:ascii="宋体" w:hAnsi="宋体" w:eastAsia="宋体"/>
                <w:color w:val="auto"/>
                <w:szCs w:val="21"/>
              </w:rPr>
              <w:t>★管道预埋：</w:t>
            </w:r>
          </w:p>
          <w:p w14:paraId="01B19509">
            <w:pPr>
              <w:snapToGrid w:val="0"/>
              <w:spacing w:line="500" w:lineRule="exact"/>
              <w:rPr>
                <w:rFonts w:hint="eastAsia" w:ascii="宋体" w:hAnsi="宋体" w:eastAsia="宋体"/>
                <w:color w:val="auto"/>
                <w:szCs w:val="21"/>
              </w:rPr>
            </w:pPr>
            <w:r>
              <w:rPr>
                <w:rFonts w:hint="eastAsia" w:ascii="宋体" w:hAnsi="宋体" w:eastAsia="宋体"/>
                <w:color w:val="auto"/>
                <w:szCs w:val="21"/>
              </w:rPr>
              <w:t>1、给水管使用DN25 PP-R给水管（含保温层），布置在地面下方300mm处；管道埋设完成后，需要对破除的路侧缓冲带、路牙石、水泥、砖、地面等进行恢复，需使用200mm厚C25混凝土进行硬化、表面进行绿化或沥青浇筑，并平整完毕；</w:t>
            </w:r>
          </w:p>
          <w:p w14:paraId="229AD1E2">
            <w:pPr>
              <w:snapToGrid w:val="0"/>
              <w:spacing w:line="500" w:lineRule="exact"/>
              <w:rPr>
                <w:rFonts w:hint="eastAsia" w:ascii="宋体" w:hAnsi="宋体" w:eastAsia="宋体"/>
                <w:color w:val="auto"/>
                <w:szCs w:val="21"/>
              </w:rPr>
            </w:pPr>
            <w:r>
              <w:rPr>
                <w:rFonts w:hint="eastAsia" w:ascii="宋体" w:hAnsi="宋体" w:eastAsia="宋体"/>
                <w:color w:val="auto"/>
                <w:szCs w:val="21"/>
              </w:rPr>
              <w:t>2、污水管：室内排水管使用DN75pvc管，室外使用DN110pvc管，布置在地面下方300mm以不小于2%的坡度排至邻近污水井，排污管口设置滤网；管道埋设完成后，需要对破除的路侧缓冲带、路牙石、水泥、砖、地面等进行恢复，需使用200mm厚C25混凝土进行硬化、表面进行绿化或沥青浇筑，并平整完毕；</w:t>
            </w:r>
          </w:p>
          <w:p w14:paraId="49D57EC9">
            <w:pPr>
              <w:snapToGrid w:val="0"/>
              <w:spacing w:line="500" w:lineRule="exact"/>
              <w:rPr>
                <w:rFonts w:hint="eastAsia" w:ascii="宋体" w:hAnsi="宋体" w:eastAsia="宋体"/>
                <w:color w:val="auto"/>
                <w:szCs w:val="21"/>
              </w:rPr>
            </w:pPr>
            <w:r>
              <w:rPr>
                <w:rFonts w:hint="eastAsia" w:ascii="宋体" w:hAnsi="宋体" w:eastAsia="宋体"/>
                <w:color w:val="auto"/>
                <w:szCs w:val="21"/>
              </w:rPr>
              <w:t>3、电工管采用20PE，布置在地面下方300mm处；管道埋设完成后，需要对破除的路侧缓冲带、路牙石、水泥、砖、地面等进行恢复，需使用200mm厚C25混凝土进行硬化、表面进行绿化或沥青浇筑，并平整完毕；</w:t>
            </w:r>
          </w:p>
          <w:p w14:paraId="5863ECFB">
            <w:pPr>
              <w:snapToGrid w:val="0"/>
              <w:spacing w:line="500" w:lineRule="exact"/>
              <w:rPr>
                <w:rFonts w:hint="eastAsia" w:ascii="宋体" w:hAnsi="宋体" w:eastAsia="宋体"/>
                <w:color w:val="auto"/>
                <w:szCs w:val="21"/>
              </w:rPr>
            </w:pPr>
            <w:r>
              <w:rPr>
                <w:rFonts w:hint="eastAsia" w:ascii="宋体" w:hAnsi="宋体" w:eastAsia="宋体"/>
                <w:color w:val="auto"/>
                <w:szCs w:val="21"/>
              </w:rPr>
              <w:t>4、在垃圾分类亭（房）所在位置内预埋一根DN50 PP-R管子，用于穿入宽带和监控线缆。</w:t>
            </w:r>
          </w:p>
          <w:p w14:paraId="36C9D1F0">
            <w:pPr>
              <w:snapToGrid w:val="0"/>
              <w:spacing w:line="500" w:lineRule="exact"/>
              <w:rPr>
                <w:rFonts w:hint="eastAsia" w:ascii="宋体" w:hAnsi="宋体" w:eastAsia="宋体"/>
                <w:color w:val="auto"/>
                <w:szCs w:val="21"/>
              </w:rPr>
            </w:pPr>
            <w:r>
              <w:rPr>
                <w:rFonts w:hint="eastAsia" w:ascii="宋体" w:hAnsi="宋体" w:eastAsia="宋体"/>
                <w:color w:val="auto"/>
                <w:szCs w:val="21"/>
              </w:rPr>
              <w:t>5、各管线预埋深度符合市政建设相关规范，所有给、排水管及强弱电线路必须对接到适宜的接水、接电点位，确保24小时通水通电及排污。</w:t>
            </w:r>
          </w:p>
        </w:tc>
      </w:tr>
      <w:tr w14:paraId="2E76B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438" w:type="dxa"/>
            <w:vMerge w:val="continue"/>
            <w:vAlign w:val="center"/>
          </w:tcPr>
          <w:p w14:paraId="6336A118">
            <w:pPr>
              <w:snapToGrid w:val="0"/>
              <w:spacing w:line="500" w:lineRule="exact"/>
              <w:rPr>
                <w:rFonts w:hint="eastAsia" w:ascii="宋体" w:hAnsi="宋体" w:eastAsia="宋体"/>
                <w:color w:val="auto"/>
                <w:szCs w:val="21"/>
              </w:rPr>
            </w:pPr>
          </w:p>
        </w:tc>
        <w:tc>
          <w:tcPr>
            <w:tcW w:w="638" w:type="dxa"/>
            <w:vMerge w:val="continue"/>
            <w:vAlign w:val="center"/>
          </w:tcPr>
          <w:p w14:paraId="4B237BB5">
            <w:pPr>
              <w:snapToGrid w:val="0"/>
              <w:spacing w:line="500" w:lineRule="exact"/>
              <w:rPr>
                <w:rFonts w:hint="eastAsia" w:ascii="宋体" w:hAnsi="宋体" w:eastAsia="宋体"/>
                <w:color w:val="auto"/>
                <w:szCs w:val="21"/>
              </w:rPr>
            </w:pPr>
          </w:p>
        </w:tc>
        <w:tc>
          <w:tcPr>
            <w:tcW w:w="3922" w:type="dxa"/>
            <w:vAlign w:val="top"/>
          </w:tcPr>
          <w:p w14:paraId="736EEF09">
            <w:pPr>
              <w:snapToGrid w:val="0"/>
              <w:spacing w:line="500" w:lineRule="exact"/>
              <w:rPr>
                <w:rFonts w:hint="eastAsia" w:ascii="宋体" w:hAnsi="宋体" w:eastAsia="宋体"/>
                <w:color w:val="auto"/>
                <w:szCs w:val="21"/>
              </w:rPr>
            </w:pPr>
            <w:r>
              <w:rPr>
                <w:rFonts w:hint="eastAsia" w:ascii="宋体" w:hAnsi="宋体" w:eastAsia="宋体"/>
                <w:color w:val="auto"/>
                <w:szCs w:val="21"/>
              </w:rPr>
              <w:t>★水电设置：</w:t>
            </w:r>
          </w:p>
          <w:p w14:paraId="56C316EF">
            <w:pPr>
              <w:snapToGrid w:val="0"/>
              <w:spacing w:line="500" w:lineRule="exact"/>
              <w:rPr>
                <w:rFonts w:hint="eastAsia" w:ascii="宋体" w:hAnsi="宋体" w:eastAsia="宋体"/>
                <w:color w:val="auto"/>
                <w:szCs w:val="21"/>
              </w:rPr>
            </w:pPr>
            <w:r>
              <w:rPr>
                <w:rFonts w:hint="eastAsia" w:ascii="宋体" w:hAnsi="宋体" w:eastAsia="宋体"/>
                <w:color w:val="auto"/>
                <w:szCs w:val="21"/>
              </w:rPr>
              <w:t>1、入户线缆不得低于2.5平方，室内管线布置在墙体或吊顶内，需接地线；</w:t>
            </w:r>
          </w:p>
          <w:p w14:paraId="5D61441C">
            <w:pPr>
              <w:snapToGrid w:val="0"/>
              <w:spacing w:line="500" w:lineRule="exact"/>
              <w:rPr>
                <w:rFonts w:hint="eastAsia" w:ascii="宋体" w:hAnsi="宋体" w:eastAsia="宋体"/>
                <w:color w:val="auto"/>
                <w:szCs w:val="21"/>
              </w:rPr>
            </w:pPr>
            <w:r>
              <w:rPr>
                <w:rFonts w:hint="eastAsia" w:ascii="宋体" w:hAnsi="宋体" w:eastAsia="宋体"/>
                <w:color w:val="auto"/>
                <w:szCs w:val="21"/>
              </w:rPr>
              <w:t>2、强弱电管道及手孔井使用DN32PVC穿线管；</w:t>
            </w:r>
          </w:p>
          <w:p w14:paraId="330ABBB1">
            <w:pPr>
              <w:snapToGrid w:val="0"/>
              <w:spacing w:line="500" w:lineRule="exact"/>
              <w:rPr>
                <w:rFonts w:hint="eastAsia" w:ascii="宋体" w:hAnsi="宋体" w:eastAsia="宋体"/>
                <w:color w:val="auto"/>
                <w:szCs w:val="21"/>
              </w:rPr>
            </w:pPr>
            <w:r>
              <w:rPr>
                <w:rFonts w:hint="eastAsia" w:ascii="宋体" w:hAnsi="宋体" w:eastAsia="宋体"/>
                <w:color w:val="auto"/>
                <w:szCs w:val="21"/>
              </w:rPr>
              <w:t>3、入户水管在室内设有总水阀，可以控制总水管的开合。</w:t>
            </w:r>
          </w:p>
        </w:tc>
      </w:tr>
      <w:tr w14:paraId="72954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438" w:type="dxa"/>
            <w:vMerge w:val="continue"/>
            <w:vAlign w:val="center"/>
          </w:tcPr>
          <w:p w14:paraId="742523C3">
            <w:pPr>
              <w:snapToGrid w:val="0"/>
              <w:spacing w:line="500" w:lineRule="exact"/>
              <w:rPr>
                <w:rFonts w:hint="eastAsia" w:ascii="宋体" w:hAnsi="宋体" w:eastAsia="宋体"/>
                <w:color w:val="auto"/>
                <w:szCs w:val="21"/>
              </w:rPr>
            </w:pPr>
          </w:p>
        </w:tc>
        <w:tc>
          <w:tcPr>
            <w:tcW w:w="638" w:type="dxa"/>
            <w:vMerge w:val="continue"/>
            <w:vAlign w:val="center"/>
          </w:tcPr>
          <w:p w14:paraId="0F990BC0">
            <w:pPr>
              <w:snapToGrid w:val="0"/>
              <w:spacing w:line="500" w:lineRule="exact"/>
              <w:rPr>
                <w:rFonts w:hint="eastAsia" w:ascii="宋体" w:hAnsi="宋体" w:eastAsia="宋体"/>
                <w:color w:val="auto"/>
                <w:szCs w:val="21"/>
              </w:rPr>
            </w:pPr>
          </w:p>
        </w:tc>
        <w:tc>
          <w:tcPr>
            <w:tcW w:w="3922" w:type="dxa"/>
            <w:vAlign w:val="top"/>
          </w:tcPr>
          <w:p w14:paraId="677E8A36">
            <w:pPr>
              <w:snapToGrid w:val="0"/>
              <w:spacing w:line="500" w:lineRule="exact"/>
              <w:rPr>
                <w:rFonts w:hint="eastAsia" w:ascii="宋体" w:hAnsi="宋体" w:eastAsia="宋体"/>
                <w:color w:val="auto"/>
                <w:szCs w:val="21"/>
              </w:rPr>
            </w:pPr>
            <w:r>
              <w:rPr>
                <w:rFonts w:hint="eastAsia" w:ascii="宋体" w:hAnsi="宋体" w:eastAsia="宋体"/>
                <w:color w:val="auto"/>
                <w:szCs w:val="21"/>
              </w:rPr>
              <w:t>★配电箱</w:t>
            </w:r>
          </w:p>
          <w:p w14:paraId="44697152">
            <w:pPr>
              <w:snapToGrid w:val="0"/>
              <w:spacing w:line="500" w:lineRule="exact"/>
              <w:rPr>
                <w:rFonts w:hint="eastAsia" w:ascii="宋体" w:hAnsi="宋体" w:eastAsia="宋体"/>
                <w:color w:val="auto"/>
                <w:szCs w:val="21"/>
              </w:rPr>
            </w:pPr>
            <w:r>
              <w:rPr>
                <w:rFonts w:hint="eastAsia" w:ascii="宋体" w:hAnsi="宋体" w:eastAsia="宋体"/>
                <w:color w:val="auto"/>
                <w:szCs w:val="21"/>
              </w:rPr>
              <w:t>1.选用型号≥10回路，面板尺寸为310*210*10mm，箱体尺寸为268*190*80mm。</w:t>
            </w:r>
          </w:p>
          <w:p w14:paraId="776D8E9B">
            <w:pPr>
              <w:snapToGrid w:val="0"/>
              <w:spacing w:line="500" w:lineRule="exact"/>
              <w:rPr>
                <w:rFonts w:hint="eastAsia" w:ascii="宋体" w:hAnsi="宋体" w:eastAsia="宋体"/>
                <w:color w:val="auto"/>
                <w:szCs w:val="21"/>
              </w:rPr>
            </w:pPr>
            <w:r>
              <w:rPr>
                <w:rFonts w:hint="eastAsia" w:ascii="宋体" w:hAnsi="宋体" w:eastAsia="宋体"/>
                <w:color w:val="auto"/>
                <w:szCs w:val="21"/>
              </w:rPr>
              <w:t>2.箱体选用阻燃ABS、PC材质。</w:t>
            </w:r>
          </w:p>
        </w:tc>
      </w:tr>
      <w:tr w14:paraId="6D029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438" w:type="dxa"/>
            <w:vMerge w:val="restart"/>
            <w:vAlign w:val="center"/>
          </w:tcPr>
          <w:p w14:paraId="6ACEA2BA">
            <w:pPr>
              <w:snapToGrid w:val="0"/>
              <w:spacing w:line="500" w:lineRule="exact"/>
              <w:rPr>
                <w:rFonts w:hint="eastAsia" w:ascii="宋体" w:hAnsi="宋体" w:eastAsia="宋体"/>
                <w:color w:val="auto"/>
                <w:szCs w:val="21"/>
              </w:rPr>
            </w:pPr>
          </w:p>
          <w:p w14:paraId="1616E178">
            <w:pPr>
              <w:snapToGrid w:val="0"/>
              <w:spacing w:line="500" w:lineRule="exact"/>
              <w:rPr>
                <w:rFonts w:hint="eastAsia" w:ascii="宋体" w:hAnsi="宋体" w:eastAsia="宋体"/>
                <w:color w:val="auto"/>
                <w:szCs w:val="21"/>
              </w:rPr>
            </w:pPr>
          </w:p>
          <w:p w14:paraId="071E9970">
            <w:pPr>
              <w:snapToGrid w:val="0"/>
              <w:spacing w:line="500" w:lineRule="exact"/>
              <w:rPr>
                <w:rFonts w:hint="eastAsia" w:ascii="宋体" w:hAnsi="宋体" w:eastAsia="宋体"/>
                <w:color w:val="auto"/>
                <w:szCs w:val="21"/>
              </w:rPr>
            </w:pPr>
          </w:p>
          <w:p w14:paraId="5A4624CC">
            <w:pPr>
              <w:snapToGrid w:val="0"/>
              <w:spacing w:line="500" w:lineRule="exact"/>
              <w:rPr>
                <w:rFonts w:hint="eastAsia" w:ascii="宋体" w:hAnsi="宋体" w:eastAsia="宋体"/>
                <w:color w:val="auto"/>
                <w:szCs w:val="21"/>
              </w:rPr>
            </w:pPr>
          </w:p>
          <w:p w14:paraId="3798DFFF">
            <w:pPr>
              <w:snapToGrid w:val="0"/>
              <w:spacing w:line="500" w:lineRule="exact"/>
              <w:rPr>
                <w:rFonts w:hint="eastAsia" w:ascii="宋体" w:hAnsi="宋体" w:eastAsia="宋体"/>
                <w:color w:val="auto"/>
                <w:szCs w:val="21"/>
              </w:rPr>
            </w:pPr>
          </w:p>
          <w:p w14:paraId="6264ABDF">
            <w:pPr>
              <w:snapToGrid w:val="0"/>
              <w:spacing w:line="500" w:lineRule="exact"/>
              <w:rPr>
                <w:rFonts w:hint="eastAsia" w:ascii="宋体" w:hAnsi="宋体" w:eastAsia="宋体"/>
                <w:color w:val="auto"/>
                <w:szCs w:val="21"/>
              </w:rPr>
            </w:pPr>
          </w:p>
          <w:p w14:paraId="4E13D307">
            <w:pPr>
              <w:snapToGrid w:val="0"/>
              <w:spacing w:line="500" w:lineRule="exact"/>
              <w:rPr>
                <w:rFonts w:hint="eastAsia" w:ascii="宋体" w:hAnsi="宋体" w:eastAsia="宋体"/>
                <w:color w:val="auto"/>
                <w:szCs w:val="21"/>
              </w:rPr>
            </w:pPr>
          </w:p>
          <w:p w14:paraId="545E2D98">
            <w:pPr>
              <w:snapToGrid w:val="0"/>
              <w:spacing w:line="500" w:lineRule="exact"/>
              <w:rPr>
                <w:rFonts w:hint="eastAsia" w:ascii="宋体" w:hAnsi="宋体" w:eastAsia="宋体"/>
                <w:color w:val="auto"/>
                <w:szCs w:val="21"/>
              </w:rPr>
            </w:pPr>
          </w:p>
          <w:p w14:paraId="7244E74D">
            <w:pPr>
              <w:snapToGrid w:val="0"/>
              <w:spacing w:line="500" w:lineRule="exact"/>
              <w:rPr>
                <w:rFonts w:hint="eastAsia" w:ascii="宋体" w:hAnsi="宋体" w:eastAsia="宋体"/>
                <w:color w:val="auto"/>
                <w:szCs w:val="21"/>
              </w:rPr>
            </w:pPr>
          </w:p>
          <w:p w14:paraId="79465CD4">
            <w:pPr>
              <w:snapToGrid w:val="0"/>
              <w:spacing w:line="500" w:lineRule="exact"/>
              <w:rPr>
                <w:rFonts w:hint="eastAsia" w:ascii="宋体" w:hAnsi="宋体" w:eastAsia="宋体"/>
                <w:color w:val="auto"/>
                <w:szCs w:val="21"/>
              </w:rPr>
            </w:pPr>
          </w:p>
          <w:p w14:paraId="323F480E">
            <w:pPr>
              <w:snapToGrid w:val="0"/>
              <w:spacing w:line="500" w:lineRule="exact"/>
              <w:rPr>
                <w:rFonts w:hint="eastAsia" w:ascii="宋体" w:hAnsi="宋体" w:eastAsia="宋体"/>
                <w:color w:val="auto"/>
                <w:szCs w:val="21"/>
              </w:rPr>
            </w:pPr>
          </w:p>
          <w:p w14:paraId="52F08D7D">
            <w:pPr>
              <w:snapToGrid w:val="0"/>
              <w:spacing w:line="500" w:lineRule="exact"/>
              <w:rPr>
                <w:rFonts w:hint="eastAsia" w:ascii="宋体" w:hAnsi="宋体" w:eastAsia="宋体"/>
                <w:color w:val="auto"/>
                <w:szCs w:val="21"/>
              </w:rPr>
            </w:pPr>
          </w:p>
          <w:p w14:paraId="7E7D2434">
            <w:pPr>
              <w:snapToGrid w:val="0"/>
              <w:spacing w:line="500" w:lineRule="exact"/>
              <w:rPr>
                <w:rFonts w:hint="eastAsia" w:ascii="宋体" w:hAnsi="宋体" w:eastAsia="宋体"/>
                <w:color w:val="auto"/>
                <w:szCs w:val="21"/>
              </w:rPr>
            </w:pPr>
          </w:p>
          <w:p w14:paraId="69E1FB2A">
            <w:pPr>
              <w:snapToGrid w:val="0"/>
              <w:spacing w:line="500" w:lineRule="exact"/>
              <w:rPr>
                <w:rFonts w:hint="eastAsia" w:ascii="宋体" w:hAnsi="宋体" w:eastAsia="宋体"/>
                <w:color w:val="auto"/>
                <w:szCs w:val="21"/>
              </w:rPr>
            </w:pPr>
            <w:r>
              <w:rPr>
                <w:rFonts w:hint="eastAsia" w:ascii="宋体" w:hAnsi="宋体" w:eastAsia="宋体"/>
                <w:color w:val="auto"/>
                <w:szCs w:val="21"/>
              </w:rPr>
              <w:t>2</w:t>
            </w:r>
          </w:p>
        </w:tc>
        <w:tc>
          <w:tcPr>
            <w:tcW w:w="638" w:type="dxa"/>
            <w:vMerge w:val="restart"/>
            <w:vAlign w:val="top"/>
          </w:tcPr>
          <w:p w14:paraId="7E16CCC1">
            <w:pPr>
              <w:snapToGrid w:val="0"/>
              <w:spacing w:line="500" w:lineRule="exact"/>
              <w:rPr>
                <w:rFonts w:hint="eastAsia" w:ascii="宋体" w:hAnsi="宋体" w:eastAsia="宋体"/>
                <w:color w:val="auto"/>
                <w:szCs w:val="21"/>
              </w:rPr>
            </w:pPr>
          </w:p>
          <w:p w14:paraId="6B65B647">
            <w:pPr>
              <w:snapToGrid w:val="0"/>
              <w:spacing w:line="500" w:lineRule="exact"/>
              <w:rPr>
                <w:rFonts w:hint="eastAsia" w:ascii="宋体" w:hAnsi="宋体" w:eastAsia="宋体"/>
                <w:color w:val="auto"/>
                <w:szCs w:val="21"/>
              </w:rPr>
            </w:pPr>
          </w:p>
          <w:p w14:paraId="50E1D327">
            <w:pPr>
              <w:snapToGrid w:val="0"/>
              <w:spacing w:line="500" w:lineRule="exact"/>
              <w:rPr>
                <w:rFonts w:hint="eastAsia" w:ascii="宋体" w:hAnsi="宋体" w:eastAsia="宋体"/>
                <w:color w:val="auto"/>
                <w:szCs w:val="21"/>
              </w:rPr>
            </w:pPr>
          </w:p>
          <w:p w14:paraId="3DDF9BD5">
            <w:pPr>
              <w:snapToGrid w:val="0"/>
              <w:spacing w:line="500" w:lineRule="exact"/>
              <w:rPr>
                <w:rFonts w:hint="eastAsia" w:ascii="宋体" w:hAnsi="宋体" w:eastAsia="宋体"/>
                <w:color w:val="auto"/>
                <w:szCs w:val="21"/>
              </w:rPr>
            </w:pPr>
          </w:p>
          <w:p w14:paraId="4AFA291F">
            <w:pPr>
              <w:snapToGrid w:val="0"/>
              <w:spacing w:line="500" w:lineRule="exact"/>
              <w:rPr>
                <w:rFonts w:hint="eastAsia" w:ascii="宋体" w:hAnsi="宋体" w:eastAsia="宋体"/>
                <w:color w:val="auto"/>
                <w:szCs w:val="21"/>
              </w:rPr>
            </w:pPr>
          </w:p>
          <w:p w14:paraId="5C2750D8">
            <w:pPr>
              <w:snapToGrid w:val="0"/>
              <w:spacing w:line="500" w:lineRule="exact"/>
              <w:rPr>
                <w:rFonts w:hint="eastAsia" w:ascii="宋体" w:hAnsi="宋体" w:eastAsia="宋体"/>
                <w:color w:val="auto"/>
                <w:szCs w:val="21"/>
              </w:rPr>
            </w:pPr>
          </w:p>
          <w:p w14:paraId="033261F0">
            <w:pPr>
              <w:snapToGrid w:val="0"/>
              <w:spacing w:line="500" w:lineRule="exact"/>
              <w:rPr>
                <w:rFonts w:hint="eastAsia" w:ascii="宋体" w:hAnsi="宋体" w:eastAsia="宋体"/>
                <w:color w:val="auto"/>
                <w:szCs w:val="21"/>
              </w:rPr>
            </w:pPr>
          </w:p>
          <w:p w14:paraId="3998D535">
            <w:pPr>
              <w:snapToGrid w:val="0"/>
              <w:spacing w:line="500" w:lineRule="exact"/>
              <w:rPr>
                <w:rFonts w:hint="eastAsia" w:ascii="宋体" w:hAnsi="宋体" w:eastAsia="宋体"/>
                <w:color w:val="auto"/>
                <w:szCs w:val="21"/>
              </w:rPr>
            </w:pPr>
          </w:p>
          <w:p w14:paraId="7D420CE8">
            <w:pPr>
              <w:snapToGrid w:val="0"/>
              <w:spacing w:line="500" w:lineRule="exact"/>
              <w:rPr>
                <w:rFonts w:hint="eastAsia" w:ascii="宋体" w:hAnsi="宋体" w:eastAsia="宋体"/>
                <w:color w:val="auto"/>
                <w:szCs w:val="21"/>
              </w:rPr>
            </w:pPr>
          </w:p>
          <w:p w14:paraId="53E7A2BD">
            <w:pPr>
              <w:snapToGrid w:val="0"/>
              <w:spacing w:line="500" w:lineRule="exact"/>
              <w:rPr>
                <w:rFonts w:hint="eastAsia" w:ascii="宋体" w:hAnsi="宋体" w:eastAsia="宋体"/>
                <w:color w:val="auto"/>
                <w:szCs w:val="21"/>
              </w:rPr>
            </w:pPr>
          </w:p>
          <w:p w14:paraId="5C26AC7D">
            <w:pPr>
              <w:snapToGrid w:val="0"/>
              <w:spacing w:line="500" w:lineRule="exact"/>
              <w:rPr>
                <w:rFonts w:hint="eastAsia" w:ascii="宋体" w:hAnsi="宋体" w:eastAsia="宋体"/>
                <w:color w:val="auto"/>
                <w:szCs w:val="21"/>
              </w:rPr>
            </w:pPr>
          </w:p>
          <w:p w14:paraId="7565EE80">
            <w:pPr>
              <w:snapToGrid w:val="0"/>
              <w:spacing w:line="500" w:lineRule="exact"/>
              <w:rPr>
                <w:rFonts w:hint="eastAsia" w:ascii="宋体" w:hAnsi="宋体" w:eastAsia="宋体"/>
                <w:color w:val="auto"/>
                <w:szCs w:val="21"/>
              </w:rPr>
            </w:pPr>
            <w:r>
              <w:rPr>
                <w:rFonts w:hint="eastAsia" w:ascii="宋体" w:hAnsi="宋体" w:eastAsia="宋体"/>
                <w:color w:val="auto"/>
                <w:szCs w:val="21"/>
              </w:rPr>
              <w:t>普通垃圾分类房主体要求</w:t>
            </w:r>
          </w:p>
        </w:tc>
        <w:tc>
          <w:tcPr>
            <w:tcW w:w="3922" w:type="dxa"/>
            <w:vAlign w:val="top"/>
          </w:tcPr>
          <w:p w14:paraId="510925AF">
            <w:pPr>
              <w:snapToGrid w:val="0"/>
              <w:spacing w:line="500" w:lineRule="exact"/>
              <w:rPr>
                <w:rFonts w:hint="eastAsia" w:ascii="宋体" w:hAnsi="宋体" w:eastAsia="宋体"/>
                <w:color w:val="auto"/>
                <w:szCs w:val="21"/>
              </w:rPr>
            </w:pPr>
            <w:r>
              <w:rPr>
                <w:rFonts w:hint="eastAsia" w:ascii="宋体" w:hAnsi="宋体" w:eastAsia="宋体"/>
                <w:color w:val="auto"/>
                <w:szCs w:val="21"/>
              </w:rPr>
              <w:t>★结构形式：</w:t>
            </w:r>
          </w:p>
          <w:p w14:paraId="0F33B908">
            <w:pPr>
              <w:snapToGrid w:val="0"/>
              <w:spacing w:line="500" w:lineRule="exact"/>
              <w:rPr>
                <w:rFonts w:hint="eastAsia" w:ascii="宋体" w:hAnsi="宋体" w:eastAsia="宋体"/>
                <w:color w:val="auto"/>
                <w:szCs w:val="21"/>
              </w:rPr>
            </w:pPr>
            <w:r>
              <w:rPr>
                <w:rFonts w:hint="eastAsia" w:ascii="宋体" w:hAnsi="宋体" w:eastAsia="宋体"/>
                <w:color w:val="auto"/>
                <w:szCs w:val="21"/>
              </w:rPr>
              <w:t>1.垃圾房选用装配式钢结构，便于进行整体吊装，色调符合各小区整体风格。</w:t>
            </w:r>
          </w:p>
          <w:p w14:paraId="54F1802D">
            <w:pPr>
              <w:snapToGrid w:val="0"/>
              <w:spacing w:line="500" w:lineRule="exact"/>
              <w:rPr>
                <w:rFonts w:hint="eastAsia" w:ascii="宋体" w:hAnsi="宋体" w:eastAsia="宋体"/>
                <w:color w:val="auto"/>
                <w:szCs w:val="21"/>
              </w:rPr>
            </w:pPr>
            <w:r>
              <w:rPr>
                <w:rFonts w:hint="eastAsia" w:ascii="宋体" w:hAnsi="宋体" w:eastAsia="宋体"/>
                <w:color w:val="auto"/>
                <w:szCs w:val="21"/>
              </w:rPr>
              <w:t>2.底部结构与立面结构主材料框架选用不小于Q235A/100*100*4mm热镀锌矩形管焊接，Si层符合GB/T 700-2006标准要求，布氏硬度符合国家要求强度。</w:t>
            </w:r>
          </w:p>
          <w:p w14:paraId="371A78BF">
            <w:pPr>
              <w:snapToGrid w:val="0"/>
              <w:spacing w:line="500" w:lineRule="exact"/>
              <w:rPr>
                <w:rFonts w:hint="eastAsia" w:ascii="宋体" w:hAnsi="宋体" w:eastAsia="宋体"/>
                <w:color w:val="auto"/>
                <w:szCs w:val="21"/>
              </w:rPr>
            </w:pPr>
            <w:r>
              <w:rPr>
                <w:rFonts w:hint="eastAsia" w:ascii="宋体" w:hAnsi="宋体" w:eastAsia="宋体"/>
                <w:color w:val="auto"/>
                <w:szCs w:val="21"/>
              </w:rPr>
              <w:t>3.钢材作防腐防锈处理，先进行原子灰平面处理，后使用环氧底漆增强表面油漆附着力，再采用高品质氟碳漆增长产品表面颜色寿命。</w:t>
            </w:r>
          </w:p>
        </w:tc>
      </w:tr>
      <w:tr w14:paraId="7A279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438" w:type="dxa"/>
            <w:vMerge w:val="continue"/>
            <w:vAlign w:val="center"/>
          </w:tcPr>
          <w:p w14:paraId="6E055AE4">
            <w:pPr>
              <w:snapToGrid w:val="0"/>
              <w:spacing w:line="500" w:lineRule="exact"/>
              <w:rPr>
                <w:rFonts w:hint="eastAsia" w:ascii="宋体" w:hAnsi="宋体" w:eastAsia="宋体"/>
                <w:color w:val="auto"/>
                <w:szCs w:val="21"/>
              </w:rPr>
            </w:pPr>
          </w:p>
        </w:tc>
        <w:tc>
          <w:tcPr>
            <w:tcW w:w="638" w:type="dxa"/>
            <w:vMerge w:val="continue"/>
            <w:vAlign w:val="center"/>
          </w:tcPr>
          <w:p w14:paraId="49974511">
            <w:pPr>
              <w:snapToGrid w:val="0"/>
              <w:spacing w:line="500" w:lineRule="exact"/>
              <w:rPr>
                <w:rFonts w:hint="eastAsia" w:ascii="宋体" w:hAnsi="宋体" w:eastAsia="宋体"/>
                <w:color w:val="auto"/>
                <w:szCs w:val="21"/>
              </w:rPr>
            </w:pPr>
          </w:p>
        </w:tc>
        <w:tc>
          <w:tcPr>
            <w:tcW w:w="3922" w:type="dxa"/>
            <w:vAlign w:val="top"/>
          </w:tcPr>
          <w:p w14:paraId="5C48FFA8">
            <w:pPr>
              <w:snapToGrid w:val="0"/>
              <w:spacing w:line="500" w:lineRule="exact"/>
              <w:rPr>
                <w:rFonts w:hint="eastAsia" w:ascii="宋体" w:hAnsi="宋体" w:eastAsia="宋体"/>
                <w:color w:val="auto"/>
                <w:szCs w:val="21"/>
              </w:rPr>
            </w:pPr>
            <w:r>
              <w:rPr>
                <w:rFonts w:hint="eastAsia" w:ascii="宋体" w:hAnsi="宋体" w:eastAsia="宋体"/>
                <w:color w:val="auto"/>
                <w:szCs w:val="21"/>
              </w:rPr>
              <w:t>★屋面形式：</w:t>
            </w:r>
          </w:p>
          <w:p w14:paraId="4803C839">
            <w:pPr>
              <w:snapToGrid w:val="0"/>
              <w:spacing w:line="500" w:lineRule="exact"/>
              <w:rPr>
                <w:rFonts w:hint="eastAsia" w:ascii="宋体" w:hAnsi="宋体" w:eastAsia="宋体"/>
                <w:color w:val="auto"/>
                <w:szCs w:val="21"/>
              </w:rPr>
            </w:pPr>
            <w:r>
              <w:rPr>
                <w:rFonts w:hint="eastAsia" w:ascii="宋体" w:hAnsi="宋体" w:eastAsia="宋体"/>
                <w:color w:val="auto"/>
                <w:szCs w:val="21"/>
              </w:rPr>
              <w:t>1、屋框架采用 Q235A/40*80*1.5mm 热镀锌矩形管；横梁采用 Q235A/80*80*1.5mm 热镀锌矩形管支撑，加强管采用 Q235A/30*50*1.5mm 热镀锌矩形管方管。</w:t>
            </w:r>
          </w:p>
          <w:p w14:paraId="42D46004">
            <w:pPr>
              <w:snapToGrid w:val="0"/>
              <w:spacing w:line="500" w:lineRule="exact"/>
              <w:rPr>
                <w:rFonts w:hint="eastAsia" w:ascii="宋体" w:hAnsi="宋体" w:eastAsia="宋体"/>
                <w:color w:val="auto"/>
                <w:szCs w:val="21"/>
              </w:rPr>
            </w:pPr>
            <w:r>
              <w:rPr>
                <w:rFonts w:hint="eastAsia" w:ascii="宋体" w:hAnsi="宋体" w:eastAsia="宋体"/>
                <w:color w:val="auto"/>
                <w:szCs w:val="21"/>
              </w:rPr>
              <w:t>2、第一层铺12mm欧松板；第二层铺设3mm厚防水层，第三层铺3mm防水沥青瓦片，均使用高温烘烤，使其二者相互粘贴牢固。屋面采用坡度设计，整体效果现代简洁。</w:t>
            </w:r>
          </w:p>
        </w:tc>
      </w:tr>
      <w:tr w14:paraId="07051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8" w:type="dxa"/>
            <w:vMerge w:val="continue"/>
            <w:vAlign w:val="center"/>
          </w:tcPr>
          <w:p w14:paraId="40FC2104">
            <w:pPr>
              <w:snapToGrid w:val="0"/>
              <w:spacing w:line="500" w:lineRule="exact"/>
              <w:rPr>
                <w:rFonts w:hint="eastAsia" w:ascii="宋体" w:hAnsi="宋体" w:eastAsia="宋体"/>
                <w:color w:val="auto"/>
                <w:szCs w:val="21"/>
              </w:rPr>
            </w:pPr>
          </w:p>
        </w:tc>
        <w:tc>
          <w:tcPr>
            <w:tcW w:w="638" w:type="dxa"/>
            <w:vMerge w:val="continue"/>
            <w:vAlign w:val="center"/>
          </w:tcPr>
          <w:p w14:paraId="62DF017C">
            <w:pPr>
              <w:snapToGrid w:val="0"/>
              <w:spacing w:line="500" w:lineRule="exact"/>
              <w:rPr>
                <w:rFonts w:hint="eastAsia" w:ascii="宋体" w:hAnsi="宋体" w:eastAsia="宋体"/>
                <w:color w:val="auto"/>
                <w:szCs w:val="21"/>
              </w:rPr>
            </w:pPr>
          </w:p>
        </w:tc>
        <w:tc>
          <w:tcPr>
            <w:tcW w:w="3922" w:type="dxa"/>
            <w:vAlign w:val="top"/>
          </w:tcPr>
          <w:p w14:paraId="2AD30F54">
            <w:pPr>
              <w:snapToGrid w:val="0"/>
              <w:spacing w:line="500" w:lineRule="exact"/>
              <w:rPr>
                <w:rFonts w:hint="eastAsia" w:ascii="宋体" w:hAnsi="宋体" w:eastAsia="宋体"/>
                <w:color w:val="auto"/>
                <w:szCs w:val="21"/>
              </w:rPr>
            </w:pPr>
            <w:r>
              <w:rPr>
                <w:rFonts w:hint="eastAsia" w:ascii="宋体" w:hAnsi="宋体" w:eastAsia="宋体"/>
                <w:color w:val="auto"/>
                <w:szCs w:val="21"/>
              </w:rPr>
              <w:t>★外墙结构：</w:t>
            </w:r>
          </w:p>
          <w:p w14:paraId="61D5010C">
            <w:pPr>
              <w:snapToGrid w:val="0"/>
              <w:spacing w:line="500" w:lineRule="exact"/>
              <w:rPr>
                <w:rFonts w:hint="eastAsia" w:ascii="宋体" w:hAnsi="宋体" w:eastAsia="宋体"/>
                <w:color w:val="auto"/>
                <w:szCs w:val="21"/>
              </w:rPr>
            </w:pPr>
            <w:r>
              <w:rPr>
                <w:rFonts w:hint="eastAsia" w:ascii="宋体" w:hAnsi="宋体" w:eastAsia="宋体"/>
                <w:color w:val="auto"/>
                <w:szCs w:val="21"/>
              </w:rPr>
              <w:t>20mm厚金属雕花一体板，表面涂层为氟碳烤漆，中间层为经阻燃处理的25mm厚XPS保温板，采用Q235A/40mm*60mm*2.0mm热镀锌矩形管方管。</w:t>
            </w:r>
          </w:p>
        </w:tc>
      </w:tr>
      <w:tr w14:paraId="73F31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438" w:type="dxa"/>
            <w:vMerge w:val="continue"/>
            <w:vAlign w:val="center"/>
          </w:tcPr>
          <w:p w14:paraId="75460D70">
            <w:pPr>
              <w:snapToGrid w:val="0"/>
              <w:spacing w:line="500" w:lineRule="exact"/>
              <w:rPr>
                <w:rFonts w:hint="eastAsia" w:ascii="宋体" w:hAnsi="宋体" w:eastAsia="宋体"/>
                <w:color w:val="auto"/>
                <w:szCs w:val="21"/>
              </w:rPr>
            </w:pPr>
          </w:p>
        </w:tc>
        <w:tc>
          <w:tcPr>
            <w:tcW w:w="638" w:type="dxa"/>
            <w:vMerge w:val="continue"/>
            <w:vAlign w:val="center"/>
          </w:tcPr>
          <w:p w14:paraId="50D23558">
            <w:pPr>
              <w:snapToGrid w:val="0"/>
              <w:spacing w:line="500" w:lineRule="exact"/>
              <w:rPr>
                <w:rFonts w:hint="eastAsia" w:ascii="宋体" w:hAnsi="宋体" w:eastAsia="宋体"/>
                <w:color w:val="auto"/>
                <w:szCs w:val="21"/>
              </w:rPr>
            </w:pPr>
          </w:p>
        </w:tc>
        <w:tc>
          <w:tcPr>
            <w:tcW w:w="3922" w:type="dxa"/>
            <w:vAlign w:val="top"/>
          </w:tcPr>
          <w:p w14:paraId="305E68B4">
            <w:pPr>
              <w:snapToGrid w:val="0"/>
              <w:spacing w:line="500" w:lineRule="exact"/>
              <w:rPr>
                <w:rFonts w:hint="eastAsia" w:ascii="宋体" w:hAnsi="宋体" w:eastAsia="宋体"/>
                <w:color w:val="auto"/>
                <w:szCs w:val="21"/>
              </w:rPr>
            </w:pPr>
            <w:r>
              <w:rPr>
                <w:rFonts w:hint="eastAsia" w:ascii="宋体" w:hAnsi="宋体" w:eastAsia="宋体"/>
                <w:color w:val="auto"/>
                <w:szCs w:val="21"/>
              </w:rPr>
              <w:t>★内墙结构：</w:t>
            </w:r>
          </w:p>
          <w:p w14:paraId="4C3C4A7F">
            <w:pPr>
              <w:snapToGrid w:val="0"/>
              <w:spacing w:line="500" w:lineRule="exact"/>
              <w:rPr>
                <w:rFonts w:hint="eastAsia" w:ascii="宋体" w:hAnsi="宋体" w:eastAsia="宋体"/>
                <w:color w:val="auto"/>
                <w:szCs w:val="21"/>
              </w:rPr>
            </w:pPr>
            <w:r>
              <w:rPr>
                <w:rFonts w:hint="eastAsia" w:ascii="宋体" w:hAnsi="宋体" w:eastAsia="宋体"/>
                <w:color w:val="auto"/>
                <w:szCs w:val="21"/>
              </w:rPr>
              <w:t>内墙选用20mm厚金属雕花一体板。</w:t>
            </w:r>
          </w:p>
        </w:tc>
      </w:tr>
      <w:tr w14:paraId="64287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438" w:type="dxa"/>
            <w:vMerge w:val="continue"/>
            <w:vAlign w:val="center"/>
          </w:tcPr>
          <w:p w14:paraId="762F70BA">
            <w:pPr>
              <w:snapToGrid w:val="0"/>
              <w:spacing w:line="500" w:lineRule="exact"/>
              <w:rPr>
                <w:rFonts w:hint="eastAsia" w:ascii="宋体" w:hAnsi="宋体" w:eastAsia="宋体"/>
                <w:color w:val="auto"/>
                <w:szCs w:val="21"/>
              </w:rPr>
            </w:pPr>
          </w:p>
        </w:tc>
        <w:tc>
          <w:tcPr>
            <w:tcW w:w="638" w:type="dxa"/>
            <w:vMerge w:val="continue"/>
            <w:vAlign w:val="center"/>
          </w:tcPr>
          <w:p w14:paraId="23BD86F6">
            <w:pPr>
              <w:snapToGrid w:val="0"/>
              <w:spacing w:line="500" w:lineRule="exact"/>
              <w:rPr>
                <w:rFonts w:hint="eastAsia" w:ascii="宋体" w:hAnsi="宋体" w:eastAsia="宋体"/>
                <w:color w:val="auto"/>
                <w:szCs w:val="21"/>
              </w:rPr>
            </w:pPr>
          </w:p>
        </w:tc>
        <w:tc>
          <w:tcPr>
            <w:tcW w:w="3922" w:type="dxa"/>
            <w:vAlign w:val="top"/>
          </w:tcPr>
          <w:p w14:paraId="7262BADB">
            <w:pPr>
              <w:snapToGrid w:val="0"/>
              <w:spacing w:line="500" w:lineRule="exact"/>
              <w:rPr>
                <w:rFonts w:hint="eastAsia" w:ascii="宋体" w:hAnsi="宋体" w:eastAsia="宋体"/>
                <w:color w:val="auto"/>
                <w:szCs w:val="21"/>
              </w:rPr>
            </w:pPr>
            <w:r>
              <w:rPr>
                <w:rFonts w:hint="eastAsia" w:ascii="宋体" w:hAnsi="宋体" w:eastAsia="宋体"/>
                <w:color w:val="auto"/>
                <w:szCs w:val="21"/>
              </w:rPr>
              <w:t>★吊顶结构：</w:t>
            </w:r>
          </w:p>
          <w:p w14:paraId="23A2765B">
            <w:pPr>
              <w:snapToGrid w:val="0"/>
              <w:spacing w:line="500" w:lineRule="exact"/>
              <w:rPr>
                <w:rFonts w:hint="eastAsia" w:ascii="宋体" w:hAnsi="宋体" w:eastAsia="宋体"/>
                <w:color w:val="auto"/>
                <w:szCs w:val="21"/>
              </w:rPr>
            </w:pPr>
            <w:r>
              <w:rPr>
                <w:rFonts w:hint="eastAsia" w:ascii="宋体" w:hAnsi="宋体" w:eastAsia="宋体"/>
                <w:color w:val="auto"/>
                <w:szCs w:val="21"/>
              </w:rPr>
              <w:t>吊顶符合防火阻燃要求。</w:t>
            </w:r>
          </w:p>
        </w:tc>
      </w:tr>
      <w:tr w14:paraId="56FA0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2" w:hRule="atLeast"/>
          <w:jc w:val="center"/>
        </w:trPr>
        <w:tc>
          <w:tcPr>
            <w:tcW w:w="438" w:type="dxa"/>
            <w:vMerge w:val="continue"/>
            <w:vAlign w:val="center"/>
          </w:tcPr>
          <w:p w14:paraId="44192F26">
            <w:pPr>
              <w:snapToGrid w:val="0"/>
              <w:spacing w:line="500" w:lineRule="exact"/>
              <w:rPr>
                <w:rFonts w:hint="eastAsia" w:ascii="宋体" w:hAnsi="宋体" w:eastAsia="宋体"/>
                <w:color w:val="auto"/>
                <w:szCs w:val="21"/>
              </w:rPr>
            </w:pPr>
          </w:p>
        </w:tc>
        <w:tc>
          <w:tcPr>
            <w:tcW w:w="638" w:type="dxa"/>
            <w:vMerge w:val="continue"/>
            <w:vAlign w:val="center"/>
          </w:tcPr>
          <w:p w14:paraId="18065C0D">
            <w:pPr>
              <w:snapToGrid w:val="0"/>
              <w:spacing w:line="500" w:lineRule="exact"/>
              <w:rPr>
                <w:rFonts w:hint="eastAsia" w:ascii="宋体" w:hAnsi="宋体" w:eastAsia="宋体"/>
                <w:color w:val="auto"/>
                <w:szCs w:val="21"/>
              </w:rPr>
            </w:pPr>
          </w:p>
        </w:tc>
        <w:tc>
          <w:tcPr>
            <w:tcW w:w="3922" w:type="dxa"/>
            <w:vAlign w:val="top"/>
          </w:tcPr>
          <w:p w14:paraId="3625DB75">
            <w:pPr>
              <w:snapToGrid w:val="0"/>
              <w:spacing w:line="500" w:lineRule="exact"/>
              <w:rPr>
                <w:rFonts w:hint="eastAsia" w:ascii="宋体" w:hAnsi="宋体" w:eastAsia="宋体"/>
                <w:color w:val="auto"/>
                <w:szCs w:val="21"/>
              </w:rPr>
            </w:pPr>
            <w:r>
              <w:rPr>
                <w:rFonts w:hint="eastAsia" w:ascii="宋体" w:hAnsi="宋体" w:eastAsia="宋体"/>
                <w:color w:val="auto"/>
                <w:szCs w:val="21"/>
              </w:rPr>
              <w:t>★门窗要求：</w:t>
            </w:r>
          </w:p>
          <w:p w14:paraId="26A72E01">
            <w:pPr>
              <w:snapToGrid w:val="0"/>
              <w:spacing w:line="500" w:lineRule="exact"/>
              <w:rPr>
                <w:rFonts w:hint="eastAsia" w:ascii="宋体" w:hAnsi="宋体" w:eastAsia="宋体"/>
                <w:color w:val="auto"/>
                <w:szCs w:val="21"/>
              </w:rPr>
            </w:pPr>
            <w:r>
              <w:rPr>
                <w:rFonts w:hint="eastAsia" w:ascii="宋体" w:hAnsi="宋体" w:eastAsia="宋体"/>
                <w:color w:val="auto"/>
                <w:szCs w:val="21"/>
              </w:rPr>
              <w:t>1、出入口卷帘门：选用0.8mm厚铝合金卷帘门（外层喷塑烤漆），电动开关，尺寸按实际订制，一条钥匙通用，每个点位配备2把；</w:t>
            </w:r>
          </w:p>
          <w:p w14:paraId="34260ED2">
            <w:pPr>
              <w:snapToGrid w:val="0"/>
              <w:spacing w:line="500" w:lineRule="exact"/>
              <w:rPr>
                <w:rFonts w:hint="eastAsia" w:ascii="宋体" w:hAnsi="宋体" w:eastAsia="宋体"/>
                <w:color w:val="auto"/>
                <w:szCs w:val="21"/>
              </w:rPr>
            </w:pPr>
            <w:r>
              <w:rPr>
                <w:rFonts w:hint="eastAsia" w:ascii="宋体" w:hAnsi="宋体" w:eastAsia="宋体"/>
                <w:color w:val="auto"/>
                <w:szCs w:val="21"/>
              </w:rPr>
              <w:t>2、投放口卷帘门：选用0.8mm厚电动铝合金卷帘门（外层喷塑烤漆），手摇开关，尺寸按实际订制；</w:t>
            </w:r>
          </w:p>
          <w:p w14:paraId="503AF626">
            <w:pPr>
              <w:snapToGrid w:val="0"/>
              <w:spacing w:line="500" w:lineRule="exact"/>
              <w:rPr>
                <w:rFonts w:hint="eastAsia" w:ascii="宋体" w:hAnsi="宋体" w:eastAsia="宋体"/>
                <w:color w:val="auto"/>
                <w:szCs w:val="21"/>
              </w:rPr>
            </w:pPr>
            <w:r>
              <w:rPr>
                <w:rFonts w:hint="eastAsia" w:ascii="宋体" w:hAnsi="宋体" w:eastAsia="宋体"/>
                <w:color w:val="auto"/>
                <w:szCs w:val="21"/>
              </w:rPr>
              <w:t>3、门包边采用304不锈钢包边，尺寸按实际订制；</w:t>
            </w:r>
          </w:p>
          <w:p w14:paraId="177EE8DB">
            <w:pPr>
              <w:snapToGrid w:val="0"/>
              <w:spacing w:line="500" w:lineRule="exact"/>
              <w:rPr>
                <w:rFonts w:hint="eastAsia" w:ascii="宋体" w:hAnsi="宋体" w:eastAsia="宋体"/>
                <w:color w:val="auto"/>
                <w:szCs w:val="21"/>
              </w:rPr>
            </w:pPr>
            <w:r>
              <w:rPr>
                <w:rFonts w:hint="eastAsia" w:ascii="宋体" w:hAnsi="宋体" w:eastAsia="宋体"/>
                <w:color w:val="auto"/>
                <w:szCs w:val="21"/>
              </w:rPr>
              <w:t>4、窗：采用优质铝合金推拉窗 钢化玻璃，尺寸按实际订制。</w:t>
            </w:r>
          </w:p>
        </w:tc>
      </w:tr>
      <w:tr w14:paraId="59F49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438" w:type="dxa"/>
            <w:vMerge w:val="continue"/>
            <w:vAlign w:val="center"/>
          </w:tcPr>
          <w:p w14:paraId="199E7ABE">
            <w:pPr>
              <w:snapToGrid w:val="0"/>
              <w:spacing w:line="500" w:lineRule="exact"/>
              <w:rPr>
                <w:rFonts w:hint="eastAsia" w:ascii="宋体" w:hAnsi="宋体" w:eastAsia="宋体"/>
                <w:color w:val="auto"/>
                <w:szCs w:val="21"/>
              </w:rPr>
            </w:pPr>
          </w:p>
        </w:tc>
        <w:tc>
          <w:tcPr>
            <w:tcW w:w="638" w:type="dxa"/>
            <w:vMerge w:val="continue"/>
            <w:vAlign w:val="center"/>
          </w:tcPr>
          <w:p w14:paraId="3FAF5888">
            <w:pPr>
              <w:snapToGrid w:val="0"/>
              <w:spacing w:line="500" w:lineRule="exact"/>
              <w:rPr>
                <w:rFonts w:hint="eastAsia" w:ascii="宋体" w:hAnsi="宋体" w:eastAsia="宋体"/>
                <w:color w:val="auto"/>
                <w:szCs w:val="21"/>
              </w:rPr>
            </w:pPr>
          </w:p>
        </w:tc>
        <w:tc>
          <w:tcPr>
            <w:tcW w:w="3922" w:type="dxa"/>
            <w:vAlign w:val="top"/>
          </w:tcPr>
          <w:p w14:paraId="04891A9F">
            <w:pPr>
              <w:snapToGrid w:val="0"/>
              <w:spacing w:line="500" w:lineRule="exact"/>
              <w:rPr>
                <w:rFonts w:hint="eastAsia" w:ascii="宋体" w:hAnsi="宋体" w:eastAsia="宋体"/>
                <w:color w:val="auto"/>
                <w:szCs w:val="21"/>
              </w:rPr>
            </w:pPr>
            <w:r>
              <w:rPr>
                <w:rFonts w:hint="eastAsia" w:ascii="宋体" w:hAnsi="宋体" w:eastAsia="宋体"/>
                <w:color w:val="auto"/>
                <w:szCs w:val="21"/>
              </w:rPr>
              <w:t>★监控要求：</w:t>
            </w:r>
          </w:p>
          <w:p w14:paraId="417A28C2">
            <w:pPr>
              <w:snapToGrid w:val="0"/>
              <w:spacing w:line="500" w:lineRule="exact"/>
              <w:rPr>
                <w:rFonts w:hint="eastAsia" w:ascii="宋体" w:hAnsi="宋体" w:eastAsia="宋体"/>
                <w:color w:val="auto"/>
                <w:szCs w:val="21"/>
              </w:rPr>
            </w:pPr>
            <w:r>
              <w:rPr>
                <w:rFonts w:hint="eastAsia" w:ascii="宋体" w:hAnsi="宋体" w:eastAsia="宋体"/>
                <w:color w:val="auto"/>
                <w:szCs w:val="21"/>
              </w:rPr>
              <w:t>像素≥400万，可扩展存储卡，存贮量符合常规且≥3天，自动续存；要求监控数据能对接平台；</w:t>
            </w:r>
          </w:p>
        </w:tc>
      </w:tr>
      <w:tr w14:paraId="1435F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438" w:type="dxa"/>
            <w:vMerge w:val="continue"/>
            <w:vAlign w:val="center"/>
          </w:tcPr>
          <w:p w14:paraId="1668C884">
            <w:pPr>
              <w:snapToGrid w:val="0"/>
              <w:spacing w:line="500" w:lineRule="exact"/>
              <w:rPr>
                <w:rFonts w:hint="eastAsia" w:ascii="宋体" w:hAnsi="宋体" w:eastAsia="宋体"/>
                <w:color w:val="auto"/>
                <w:szCs w:val="21"/>
              </w:rPr>
            </w:pPr>
          </w:p>
        </w:tc>
        <w:tc>
          <w:tcPr>
            <w:tcW w:w="638" w:type="dxa"/>
            <w:vMerge w:val="continue"/>
            <w:vAlign w:val="center"/>
          </w:tcPr>
          <w:p w14:paraId="505B2395">
            <w:pPr>
              <w:snapToGrid w:val="0"/>
              <w:spacing w:line="500" w:lineRule="exact"/>
              <w:rPr>
                <w:rFonts w:hint="eastAsia" w:ascii="宋体" w:hAnsi="宋体" w:eastAsia="宋体"/>
                <w:color w:val="auto"/>
                <w:szCs w:val="21"/>
              </w:rPr>
            </w:pPr>
          </w:p>
        </w:tc>
        <w:tc>
          <w:tcPr>
            <w:tcW w:w="3922" w:type="dxa"/>
            <w:vAlign w:val="top"/>
          </w:tcPr>
          <w:p w14:paraId="7BD78026">
            <w:pPr>
              <w:snapToGrid w:val="0"/>
              <w:spacing w:line="500" w:lineRule="exact"/>
              <w:rPr>
                <w:rFonts w:hint="eastAsia" w:ascii="宋体" w:hAnsi="宋体" w:eastAsia="宋体"/>
                <w:color w:val="auto"/>
                <w:szCs w:val="21"/>
              </w:rPr>
            </w:pPr>
            <w:r>
              <w:rPr>
                <w:rFonts w:hint="eastAsia" w:ascii="宋体" w:hAnsi="宋体" w:eastAsia="宋体"/>
                <w:color w:val="auto"/>
                <w:szCs w:val="21"/>
              </w:rPr>
              <w:t>★抗风、抗震等级及防水要求：</w:t>
            </w:r>
          </w:p>
          <w:p w14:paraId="0DE0A2A9">
            <w:pPr>
              <w:snapToGrid w:val="0"/>
              <w:spacing w:line="500" w:lineRule="exact"/>
              <w:rPr>
                <w:rFonts w:hint="eastAsia" w:ascii="宋体" w:hAnsi="宋体" w:eastAsia="宋体"/>
                <w:color w:val="auto"/>
                <w:szCs w:val="21"/>
              </w:rPr>
            </w:pPr>
            <w:r>
              <w:rPr>
                <w:rFonts w:hint="eastAsia" w:ascii="宋体" w:hAnsi="宋体" w:eastAsia="宋体"/>
                <w:color w:val="auto"/>
                <w:szCs w:val="21"/>
              </w:rPr>
              <w:t>抗风等级须达12级，抗震设防烈度须达8度，符合防水密闭性要求。（验收前须提供第三方检测机构出具的报告）</w:t>
            </w:r>
          </w:p>
        </w:tc>
      </w:tr>
    </w:tbl>
    <w:p w14:paraId="6BF60F31">
      <w:pPr>
        <w:pStyle w:val="31"/>
        <w:rPr>
          <w:rFonts w:hint="eastAsia"/>
          <w:color w:val="auto"/>
          <w:lang w:val="en-US" w:eastAsia="zh-CN"/>
        </w:rPr>
      </w:pPr>
    </w:p>
    <w:p w14:paraId="34777D74">
      <w:pPr>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b/>
          <w:bCs/>
          <w:color w:val="auto"/>
          <w:sz w:val="28"/>
          <w:szCs w:val="28"/>
        </w:rPr>
      </w:pPr>
      <w:r>
        <w:rPr>
          <w:rFonts w:hint="eastAsia" w:ascii="宋体" w:hAnsi="宋体" w:eastAsia="宋体"/>
          <w:b/>
          <w:bCs/>
          <w:color w:val="auto"/>
          <w:sz w:val="28"/>
          <w:szCs w:val="28"/>
        </w:rPr>
        <w:t>单个普通垃圾分类房配套设备</w:t>
      </w:r>
    </w:p>
    <w:tbl>
      <w:tblPr>
        <w:tblStyle w:val="10"/>
        <w:tblW w:w="541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2"/>
        <w:gridCol w:w="1577"/>
        <w:gridCol w:w="4728"/>
        <w:gridCol w:w="753"/>
        <w:gridCol w:w="1418"/>
      </w:tblGrid>
      <w:tr w14:paraId="0552B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353" w:type="dxa"/>
            <w:vAlign w:val="center"/>
          </w:tcPr>
          <w:p w14:paraId="40314F28">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序号</w:t>
            </w:r>
          </w:p>
        </w:tc>
        <w:tc>
          <w:tcPr>
            <w:tcW w:w="892" w:type="dxa"/>
            <w:vAlign w:val="center"/>
          </w:tcPr>
          <w:p w14:paraId="6766E252">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名称</w:t>
            </w:r>
          </w:p>
        </w:tc>
        <w:tc>
          <w:tcPr>
            <w:tcW w:w="2675" w:type="dxa"/>
            <w:vAlign w:val="center"/>
          </w:tcPr>
          <w:p w14:paraId="3B50F5FF">
            <w:pPr>
              <w:snapToGrid w:val="0"/>
              <w:spacing w:line="500" w:lineRule="exact"/>
              <w:rPr>
                <w:rFonts w:hint="eastAsia" w:ascii="宋体" w:hAnsi="宋体" w:eastAsia="宋体"/>
                <w:color w:val="auto"/>
                <w:szCs w:val="21"/>
              </w:rPr>
            </w:pPr>
            <w:r>
              <w:rPr>
                <w:rFonts w:hint="eastAsia" w:ascii="宋体" w:hAnsi="宋体" w:eastAsia="宋体"/>
                <w:color w:val="auto"/>
                <w:szCs w:val="21"/>
              </w:rPr>
              <w:t>规格、技术参数及功能要求（以下所有设备均为带“★”）</w:t>
            </w:r>
          </w:p>
        </w:tc>
        <w:tc>
          <w:tcPr>
            <w:tcW w:w="275" w:type="dxa"/>
            <w:vAlign w:val="center"/>
          </w:tcPr>
          <w:p w14:paraId="3A388E42">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单位</w:t>
            </w:r>
          </w:p>
        </w:tc>
        <w:tc>
          <w:tcPr>
            <w:tcW w:w="802" w:type="dxa"/>
            <w:vAlign w:val="center"/>
          </w:tcPr>
          <w:p w14:paraId="728F1BEC">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数量</w:t>
            </w:r>
          </w:p>
        </w:tc>
      </w:tr>
      <w:tr w14:paraId="261D0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353" w:type="dxa"/>
            <w:vAlign w:val="center"/>
          </w:tcPr>
          <w:p w14:paraId="02C42CA4">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c>
          <w:tcPr>
            <w:tcW w:w="892" w:type="dxa"/>
            <w:vAlign w:val="center"/>
          </w:tcPr>
          <w:p w14:paraId="487C13C9">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洗手池（不配镜子）</w:t>
            </w:r>
          </w:p>
        </w:tc>
        <w:tc>
          <w:tcPr>
            <w:tcW w:w="2675" w:type="dxa"/>
            <w:vAlign w:val="center"/>
          </w:tcPr>
          <w:p w14:paraId="26A597A4">
            <w:pPr>
              <w:snapToGrid w:val="0"/>
              <w:spacing w:line="360" w:lineRule="auto"/>
              <w:rPr>
                <w:rFonts w:hint="eastAsia" w:ascii="宋体" w:hAnsi="宋体" w:eastAsia="宋体"/>
                <w:color w:val="auto"/>
                <w:szCs w:val="21"/>
              </w:rPr>
            </w:pPr>
            <w:r>
              <w:rPr>
                <w:rFonts w:hint="eastAsia" w:ascii="宋体" w:hAnsi="宋体" w:eastAsia="宋体"/>
                <w:color w:val="auto"/>
                <w:szCs w:val="21"/>
              </w:rPr>
              <w:t>洗手池尺寸：500mm*600mm*780mm；材质：高温陶瓷</w:t>
            </w:r>
          </w:p>
          <w:p w14:paraId="06813399">
            <w:pPr>
              <w:snapToGrid w:val="0"/>
              <w:spacing w:line="360" w:lineRule="auto"/>
              <w:rPr>
                <w:rFonts w:hint="eastAsia" w:ascii="宋体" w:hAnsi="宋体" w:eastAsia="宋体"/>
                <w:color w:val="auto"/>
                <w:szCs w:val="21"/>
              </w:rPr>
            </w:pPr>
            <w:r>
              <w:rPr>
                <w:rFonts w:hint="eastAsia" w:ascii="宋体" w:hAnsi="宋体" w:eastAsia="宋体"/>
                <w:color w:val="auto"/>
                <w:szCs w:val="21"/>
              </w:rPr>
              <w:t>下水器：不锈钢；排水方式：底部排水；</w:t>
            </w:r>
          </w:p>
          <w:p w14:paraId="6956511A">
            <w:pPr>
              <w:snapToGrid w:val="0"/>
              <w:spacing w:line="360" w:lineRule="auto"/>
              <w:rPr>
                <w:rFonts w:hint="eastAsia" w:ascii="宋体" w:hAnsi="宋体" w:eastAsia="宋体"/>
                <w:color w:val="auto"/>
                <w:szCs w:val="21"/>
              </w:rPr>
            </w:pPr>
            <w:r>
              <w:rPr>
                <w:rFonts w:hint="eastAsia" w:ascii="宋体" w:hAnsi="宋体" w:eastAsia="宋体"/>
                <w:color w:val="auto"/>
                <w:szCs w:val="21"/>
              </w:rPr>
              <w:t>下水管：可伸缩塑料软管</w:t>
            </w:r>
          </w:p>
          <w:p w14:paraId="31F97ED3">
            <w:pPr>
              <w:pStyle w:val="31"/>
              <w:spacing w:line="360" w:lineRule="auto"/>
              <w:rPr>
                <w:rFonts w:hint="eastAsia" w:ascii="宋体" w:hAnsi="宋体" w:eastAsia="宋体"/>
                <w:color w:val="auto"/>
                <w:kern w:val="2"/>
                <w:sz w:val="21"/>
                <w:szCs w:val="21"/>
              </w:rPr>
            </w:pPr>
            <w:r>
              <w:rPr>
                <w:rFonts w:hint="eastAsia" w:ascii="宋体" w:hAnsi="宋体" w:eastAsia="宋体"/>
                <w:color w:val="auto"/>
                <w:kern w:val="2"/>
                <w:sz w:val="21"/>
                <w:szCs w:val="21"/>
              </w:rPr>
              <w:t>位置要求：洗手池外置侧向固定于房体一侧，与出入口卷帘门同侧，也可根据现场条件调整</w:t>
            </w:r>
          </w:p>
          <w:p w14:paraId="68F04FDD">
            <w:pPr>
              <w:spacing w:line="360" w:lineRule="auto"/>
              <w:rPr>
                <w:rFonts w:hint="eastAsia" w:ascii="宋体" w:hAnsi="宋体" w:eastAsia="宋体"/>
                <w:color w:val="auto"/>
                <w:szCs w:val="21"/>
              </w:rPr>
            </w:pPr>
            <w:r>
              <w:rPr>
                <w:rFonts w:hint="eastAsia" w:ascii="宋体" w:hAnsi="宋体" w:eastAsia="宋体"/>
                <w:color w:val="auto"/>
                <w:szCs w:val="21"/>
              </w:rPr>
              <w:t>开关要求：单独设置洗手池开关阀门于分类房内部</w:t>
            </w:r>
          </w:p>
        </w:tc>
        <w:tc>
          <w:tcPr>
            <w:tcW w:w="275" w:type="dxa"/>
            <w:vAlign w:val="center"/>
          </w:tcPr>
          <w:p w14:paraId="3CD14404">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件</w:t>
            </w:r>
          </w:p>
        </w:tc>
        <w:tc>
          <w:tcPr>
            <w:tcW w:w="802" w:type="dxa"/>
            <w:vAlign w:val="center"/>
          </w:tcPr>
          <w:p w14:paraId="05F8C7CE">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3243E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353" w:type="dxa"/>
            <w:vAlign w:val="center"/>
          </w:tcPr>
          <w:p w14:paraId="0662908F">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2</w:t>
            </w:r>
          </w:p>
        </w:tc>
        <w:tc>
          <w:tcPr>
            <w:tcW w:w="892" w:type="dxa"/>
            <w:vAlign w:val="center"/>
          </w:tcPr>
          <w:p w14:paraId="57376623">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拖把池</w:t>
            </w:r>
          </w:p>
        </w:tc>
        <w:tc>
          <w:tcPr>
            <w:tcW w:w="2675" w:type="dxa"/>
            <w:vAlign w:val="center"/>
          </w:tcPr>
          <w:p w14:paraId="278F130F">
            <w:pPr>
              <w:snapToGrid w:val="0"/>
              <w:spacing w:line="500" w:lineRule="exact"/>
              <w:rPr>
                <w:rFonts w:hint="eastAsia" w:ascii="宋体" w:hAnsi="宋体" w:eastAsia="宋体"/>
                <w:color w:val="auto"/>
                <w:szCs w:val="21"/>
              </w:rPr>
            </w:pPr>
            <w:r>
              <w:rPr>
                <w:rFonts w:hint="eastAsia" w:ascii="宋体" w:hAnsi="宋体" w:eastAsia="宋体"/>
                <w:color w:val="auto"/>
                <w:szCs w:val="21"/>
              </w:rPr>
              <w:t>拖把池尺寸：430mm*500mm*510mm</w:t>
            </w:r>
          </w:p>
          <w:p w14:paraId="127502EA">
            <w:pPr>
              <w:snapToGrid w:val="0"/>
              <w:spacing w:line="500" w:lineRule="exact"/>
              <w:rPr>
                <w:rFonts w:hint="eastAsia" w:ascii="宋体" w:hAnsi="宋体" w:eastAsia="宋体"/>
                <w:color w:val="auto"/>
                <w:szCs w:val="21"/>
              </w:rPr>
            </w:pPr>
            <w:r>
              <w:rPr>
                <w:rFonts w:hint="eastAsia" w:ascii="宋体" w:hAnsi="宋体" w:eastAsia="宋体"/>
                <w:color w:val="auto"/>
                <w:szCs w:val="21"/>
              </w:rPr>
              <w:t>材质：陶瓷</w:t>
            </w:r>
          </w:p>
        </w:tc>
        <w:tc>
          <w:tcPr>
            <w:tcW w:w="275" w:type="dxa"/>
            <w:vAlign w:val="center"/>
          </w:tcPr>
          <w:p w14:paraId="170BFB76">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件</w:t>
            </w:r>
          </w:p>
        </w:tc>
        <w:tc>
          <w:tcPr>
            <w:tcW w:w="802" w:type="dxa"/>
            <w:vAlign w:val="center"/>
          </w:tcPr>
          <w:p w14:paraId="4AD8FD0B">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3239C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353" w:type="dxa"/>
            <w:vMerge w:val="restart"/>
            <w:vAlign w:val="center"/>
          </w:tcPr>
          <w:p w14:paraId="61B1F433">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3</w:t>
            </w:r>
          </w:p>
        </w:tc>
        <w:tc>
          <w:tcPr>
            <w:tcW w:w="892" w:type="dxa"/>
            <w:vMerge w:val="restart"/>
            <w:vAlign w:val="center"/>
          </w:tcPr>
          <w:p w14:paraId="346EDDA2">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水龙头</w:t>
            </w:r>
          </w:p>
        </w:tc>
        <w:tc>
          <w:tcPr>
            <w:tcW w:w="2675" w:type="dxa"/>
            <w:vAlign w:val="center"/>
          </w:tcPr>
          <w:p w14:paraId="4ACBAE3C">
            <w:pPr>
              <w:snapToGrid w:val="0"/>
              <w:spacing w:line="500" w:lineRule="exact"/>
              <w:rPr>
                <w:rFonts w:hint="eastAsia" w:ascii="宋体" w:hAnsi="宋体" w:eastAsia="宋体"/>
                <w:color w:val="auto"/>
                <w:szCs w:val="21"/>
              </w:rPr>
            </w:pPr>
            <w:r>
              <w:rPr>
                <w:rFonts w:hint="eastAsia" w:ascii="宋体" w:hAnsi="宋体" w:eastAsia="宋体"/>
                <w:color w:val="auto"/>
                <w:szCs w:val="21"/>
              </w:rPr>
              <w:t>洗手池水龙头：冷热水全铜龙头</w:t>
            </w:r>
          </w:p>
          <w:p w14:paraId="69863937">
            <w:pPr>
              <w:snapToGrid w:val="0"/>
              <w:spacing w:line="500" w:lineRule="exact"/>
              <w:rPr>
                <w:rFonts w:hint="eastAsia" w:ascii="宋体" w:hAnsi="宋体" w:eastAsia="宋体"/>
                <w:color w:val="auto"/>
                <w:szCs w:val="21"/>
              </w:rPr>
            </w:pPr>
            <w:r>
              <w:rPr>
                <w:rFonts w:hint="eastAsia" w:ascii="宋体" w:hAnsi="宋体" w:eastAsia="宋体"/>
                <w:color w:val="auto"/>
                <w:szCs w:val="21"/>
              </w:rPr>
              <w:t>镀铬镍黄铜本体，符合GB/T 9797-2005标准。</w:t>
            </w:r>
          </w:p>
        </w:tc>
        <w:tc>
          <w:tcPr>
            <w:tcW w:w="275" w:type="dxa"/>
            <w:vAlign w:val="center"/>
          </w:tcPr>
          <w:p w14:paraId="15159345">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支</w:t>
            </w:r>
          </w:p>
        </w:tc>
        <w:tc>
          <w:tcPr>
            <w:tcW w:w="802" w:type="dxa"/>
            <w:vAlign w:val="center"/>
          </w:tcPr>
          <w:p w14:paraId="41F83A61">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66A35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353" w:type="dxa"/>
            <w:vMerge w:val="continue"/>
            <w:vAlign w:val="center"/>
          </w:tcPr>
          <w:p w14:paraId="47EB1263">
            <w:pPr>
              <w:snapToGrid w:val="0"/>
              <w:spacing w:line="500" w:lineRule="exact"/>
              <w:jc w:val="center"/>
              <w:rPr>
                <w:rFonts w:hint="eastAsia" w:ascii="宋体" w:hAnsi="宋体" w:eastAsia="宋体"/>
                <w:color w:val="auto"/>
                <w:szCs w:val="21"/>
              </w:rPr>
            </w:pPr>
          </w:p>
        </w:tc>
        <w:tc>
          <w:tcPr>
            <w:tcW w:w="892" w:type="dxa"/>
            <w:vMerge w:val="continue"/>
            <w:vAlign w:val="center"/>
          </w:tcPr>
          <w:p w14:paraId="30F5AA53">
            <w:pPr>
              <w:snapToGrid w:val="0"/>
              <w:spacing w:line="500" w:lineRule="exact"/>
              <w:jc w:val="center"/>
              <w:rPr>
                <w:rFonts w:hint="eastAsia" w:ascii="宋体" w:hAnsi="宋体" w:eastAsia="宋体"/>
                <w:color w:val="auto"/>
                <w:szCs w:val="21"/>
              </w:rPr>
            </w:pPr>
          </w:p>
        </w:tc>
        <w:tc>
          <w:tcPr>
            <w:tcW w:w="2675" w:type="dxa"/>
            <w:vAlign w:val="center"/>
          </w:tcPr>
          <w:p w14:paraId="3092625B">
            <w:pPr>
              <w:snapToGrid w:val="0"/>
              <w:spacing w:line="500" w:lineRule="exact"/>
              <w:rPr>
                <w:rFonts w:hint="eastAsia" w:ascii="宋体" w:hAnsi="宋体" w:eastAsia="宋体"/>
                <w:color w:val="auto"/>
                <w:szCs w:val="21"/>
              </w:rPr>
            </w:pPr>
            <w:r>
              <w:rPr>
                <w:rFonts w:hint="eastAsia" w:ascii="宋体" w:hAnsi="宋体" w:eastAsia="宋体"/>
                <w:color w:val="auto"/>
                <w:szCs w:val="21"/>
              </w:rPr>
              <w:t>拖把池及高压水枪水龙头：单冷全铜水龙头。</w:t>
            </w:r>
          </w:p>
        </w:tc>
        <w:tc>
          <w:tcPr>
            <w:tcW w:w="275" w:type="dxa"/>
            <w:vAlign w:val="center"/>
          </w:tcPr>
          <w:p w14:paraId="130DEABC">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支</w:t>
            </w:r>
          </w:p>
        </w:tc>
        <w:tc>
          <w:tcPr>
            <w:tcW w:w="802" w:type="dxa"/>
            <w:vAlign w:val="center"/>
          </w:tcPr>
          <w:p w14:paraId="33865EB0">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2E8B0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353" w:type="dxa"/>
            <w:vAlign w:val="center"/>
          </w:tcPr>
          <w:p w14:paraId="3191A31A">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4</w:t>
            </w:r>
          </w:p>
        </w:tc>
        <w:tc>
          <w:tcPr>
            <w:tcW w:w="892" w:type="dxa"/>
            <w:vAlign w:val="center"/>
          </w:tcPr>
          <w:p w14:paraId="06F5A022">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灭火器</w:t>
            </w:r>
          </w:p>
        </w:tc>
        <w:tc>
          <w:tcPr>
            <w:tcW w:w="2675" w:type="dxa"/>
            <w:vAlign w:val="center"/>
          </w:tcPr>
          <w:p w14:paraId="4F945BE8">
            <w:pPr>
              <w:snapToGrid w:val="0"/>
              <w:spacing w:line="500" w:lineRule="exact"/>
              <w:rPr>
                <w:rFonts w:hint="eastAsia" w:ascii="宋体" w:hAnsi="宋体" w:eastAsia="宋体"/>
                <w:color w:val="auto"/>
                <w:szCs w:val="21"/>
              </w:rPr>
            </w:pPr>
            <w:r>
              <w:rPr>
                <w:rFonts w:hint="eastAsia" w:ascii="宋体" w:hAnsi="宋体" w:eastAsia="宋体"/>
                <w:color w:val="auto"/>
                <w:szCs w:val="21"/>
              </w:rPr>
              <w:t>干粉灭火器；容量：5公斤；产品质量须符合国家标准，实现挂钩、托架、夹持带固定。</w:t>
            </w:r>
          </w:p>
        </w:tc>
        <w:tc>
          <w:tcPr>
            <w:tcW w:w="275" w:type="dxa"/>
            <w:vAlign w:val="center"/>
          </w:tcPr>
          <w:p w14:paraId="6297449E">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支</w:t>
            </w:r>
          </w:p>
        </w:tc>
        <w:tc>
          <w:tcPr>
            <w:tcW w:w="802" w:type="dxa"/>
            <w:vAlign w:val="center"/>
          </w:tcPr>
          <w:p w14:paraId="0B837F6F">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2</w:t>
            </w:r>
          </w:p>
        </w:tc>
      </w:tr>
      <w:tr w14:paraId="68F4E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353" w:type="dxa"/>
            <w:vAlign w:val="center"/>
          </w:tcPr>
          <w:p w14:paraId="180A7327">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5</w:t>
            </w:r>
          </w:p>
        </w:tc>
        <w:tc>
          <w:tcPr>
            <w:tcW w:w="892" w:type="dxa"/>
            <w:vAlign w:val="center"/>
          </w:tcPr>
          <w:p w14:paraId="00ED19AB">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排风扇</w:t>
            </w:r>
          </w:p>
        </w:tc>
        <w:tc>
          <w:tcPr>
            <w:tcW w:w="2675" w:type="dxa"/>
            <w:vAlign w:val="center"/>
          </w:tcPr>
          <w:p w14:paraId="6F88BC9F">
            <w:pPr>
              <w:snapToGrid w:val="0"/>
              <w:spacing w:line="500" w:lineRule="exact"/>
              <w:rPr>
                <w:rFonts w:hint="eastAsia" w:ascii="宋体" w:hAnsi="宋体" w:eastAsia="宋体"/>
                <w:color w:val="auto"/>
                <w:szCs w:val="21"/>
              </w:rPr>
            </w:pPr>
            <w:r>
              <w:rPr>
                <w:rFonts w:hint="eastAsia" w:ascii="宋体" w:hAnsi="宋体" w:eastAsia="宋体"/>
                <w:color w:val="auto"/>
                <w:szCs w:val="21"/>
              </w:rPr>
              <w:t>电压/频率：220V/50Hz；电功率：根据风量核定；风量：≥1000m3/H；噪声值：≤45db；尺寸：300mm*300mm</w:t>
            </w:r>
          </w:p>
        </w:tc>
        <w:tc>
          <w:tcPr>
            <w:tcW w:w="275" w:type="dxa"/>
            <w:vAlign w:val="center"/>
          </w:tcPr>
          <w:p w14:paraId="07CB6D12">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个</w:t>
            </w:r>
          </w:p>
        </w:tc>
        <w:tc>
          <w:tcPr>
            <w:tcW w:w="802" w:type="dxa"/>
            <w:vAlign w:val="center"/>
          </w:tcPr>
          <w:p w14:paraId="66D099DC">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2</w:t>
            </w:r>
          </w:p>
        </w:tc>
      </w:tr>
      <w:tr w14:paraId="1153A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353" w:type="dxa"/>
            <w:vMerge w:val="restart"/>
            <w:vAlign w:val="center"/>
          </w:tcPr>
          <w:p w14:paraId="0A2784BD">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6</w:t>
            </w:r>
          </w:p>
        </w:tc>
        <w:tc>
          <w:tcPr>
            <w:tcW w:w="892" w:type="dxa"/>
            <w:vMerge w:val="restart"/>
            <w:vAlign w:val="center"/>
          </w:tcPr>
          <w:p w14:paraId="57B2FB6A">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标识牌（根据实际情况可调整尺寸）</w:t>
            </w:r>
          </w:p>
        </w:tc>
        <w:tc>
          <w:tcPr>
            <w:tcW w:w="2675" w:type="dxa"/>
            <w:vAlign w:val="center"/>
          </w:tcPr>
          <w:p w14:paraId="21261388">
            <w:pPr>
              <w:snapToGrid w:val="0"/>
              <w:spacing w:line="500" w:lineRule="exact"/>
              <w:rPr>
                <w:rFonts w:hint="eastAsia" w:ascii="宋体" w:hAnsi="宋体" w:eastAsia="宋体"/>
                <w:color w:val="auto"/>
                <w:szCs w:val="21"/>
              </w:rPr>
            </w:pPr>
            <w:r>
              <w:rPr>
                <w:rFonts w:hint="eastAsia" w:ascii="宋体" w:hAnsi="宋体" w:eastAsia="宋体"/>
                <w:color w:val="auto"/>
                <w:szCs w:val="21"/>
              </w:rPr>
              <w:t>公示牌：60cm*90cm</w:t>
            </w:r>
          </w:p>
          <w:p w14:paraId="2F4C16D7">
            <w:pPr>
              <w:snapToGrid w:val="0"/>
              <w:spacing w:line="500" w:lineRule="exact"/>
              <w:rPr>
                <w:rFonts w:hint="eastAsia" w:ascii="宋体" w:hAnsi="宋体" w:eastAsia="宋体"/>
                <w:color w:val="auto"/>
                <w:szCs w:val="21"/>
              </w:rPr>
            </w:pPr>
            <w:r>
              <w:rPr>
                <w:rFonts w:hint="eastAsia" w:ascii="宋体" w:hAnsi="宋体" w:eastAsia="宋体"/>
                <w:color w:val="auto"/>
                <w:szCs w:val="21"/>
              </w:rPr>
              <w:t>材质：5mm亚克力雕刻字，白色透明亚克力插盒</w:t>
            </w:r>
          </w:p>
        </w:tc>
        <w:tc>
          <w:tcPr>
            <w:tcW w:w="275" w:type="dxa"/>
            <w:vAlign w:val="center"/>
          </w:tcPr>
          <w:p w14:paraId="0DA21541">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块</w:t>
            </w:r>
          </w:p>
        </w:tc>
        <w:tc>
          <w:tcPr>
            <w:tcW w:w="802" w:type="dxa"/>
            <w:vAlign w:val="center"/>
          </w:tcPr>
          <w:p w14:paraId="0ECBF15A">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586EB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353" w:type="dxa"/>
            <w:vMerge w:val="continue"/>
            <w:vAlign w:val="center"/>
          </w:tcPr>
          <w:p w14:paraId="0C701689">
            <w:pPr>
              <w:snapToGrid w:val="0"/>
              <w:spacing w:line="500" w:lineRule="exact"/>
              <w:jc w:val="center"/>
              <w:rPr>
                <w:rFonts w:hint="eastAsia" w:ascii="宋体" w:hAnsi="宋体" w:eastAsia="宋体"/>
                <w:color w:val="auto"/>
                <w:szCs w:val="21"/>
              </w:rPr>
            </w:pPr>
          </w:p>
        </w:tc>
        <w:tc>
          <w:tcPr>
            <w:tcW w:w="892" w:type="dxa"/>
            <w:vMerge w:val="continue"/>
            <w:vAlign w:val="center"/>
          </w:tcPr>
          <w:p w14:paraId="6D634D1A">
            <w:pPr>
              <w:snapToGrid w:val="0"/>
              <w:spacing w:line="500" w:lineRule="exact"/>
              <w:jc w:val="center"/>
              <w:rPr>
                <w:rFonts w:hint="eastAsia" w:ascii="宋体" w:hAnsi="宋体" w:eastAsia="宋体"/>
                <w:color w:val="auto"/>
                <w:szCs w:val="21"/>
              </w:rPr>
            </w:pPr>
          </w:p>
        </w:tc>
        <w:tc>
          <w:tcPr>
            <w:tcW w:w="2675" w:type="dxa"/>
            <w:vAlign w:val="center"/>
          </w:tcPr>
          <w:p w14:paraId="3ED0D813">
            <w:pPr>
              <w:snapToGrid w:val="0"/>
              <w:spacing w:line="500" w:lineRule="exact"/>
              <w:rPr>
                <w:rFonts w:hint="eastAsia" w:ascii="宋体" w:hAnsi="宋体" w:eastAsia="宋体"/>
                <w:color w:val="auto"/>
                <w:szCs w:val="21"/>
              </w:rPr>
            </w:pPr>
            <w:r>
              <w:rPr>
                <w:rFonts w:hint="eastAsia" w:ascii="宋体" w:hAnsi="宋体" w:eastAsia="宋体"/>
                <w:color w:val="auto"/>
                <w:szCs w:val="21"/>
              </w:rPr>
              <w:t>投放时间牌：20cm*30cm</w:t>
            </w:r>
          </w:p>
          <w:p w14:paraId="69F85E38">
            <w:pPr>
              <w:snapToGrid w:val="0"/>
              <w:spacing w:line="500" w:lineRule="exact"/>
              <w:rPr>
                <w:rFonts w:hint="eastAsia" w:ascii="宋体" w:hAnsi="宋体" w:eastAsia="宋体"/>
                <w:color w:val="auto"/>
                <w:szCs w:val="21"/>
              </w:rPr>
            </w:pPr>
            <w:r>
              <w:rPr>
                <w:rFonts w:hint="eastAsia" w:ascii="宋体" w:hAnsi="宋体" w:eastAsia="宋体"/>
                <w:color w:val="auto"/>
                <w:szCs w:val="21"/>
              </w:rPr>
              <w:t>材质：5mm亚克力雕刻平板UV打印</w:t>
            </w:r>
          </w:p>
        </w:tc>
        <w:tc>
          <w:tcPr>
            <w:tcW w:w="275" w:type="dxa"/>
            <w:vAlign w:val="center"/>
          </w:tcPr>
          <w:p w14:paraId="073C1F69">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块</w:t>
            </w:r>
          </w:p>
        </w:tc>
        <w:tc>
          <w:tcPr>
            <w:tcW w:w="802" w:type="dxa"/>
            <w:vAlign w:val="center"/>
          </w:tcPr>
          <w:p w14:paraId="250F16B9">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60DA7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353" w:type="dxa"/>
            <w:vMerge w:val="continue"/>
            <w:vAlign w:val="center"/>
          </w:tcPr>
          <w:p w14:paraId="0881F487">
            <w:pPr>
              <w:snapToGrid w:val="0"/>
              <w:spacing w:line="500" w:lineRule="exact"/>
              <w:jc w:val="center"/>
              <w:rPr>
                <w:rFonts w:hint="eastAsia" w:ascii="宋体" w:hAnsi="宋体" w:eastAsia="宋体"/>
                <w:color w:val="auto"/>
                <w:szCs w:val="21"/>
              </w:rPr>
            </w:pPr>
          </w:p>
        </w:tc>
        <w:tc>
          <w:tcPr>
            <w:tcW w:w="892" w:type="dxa"/>
            <w:vMerge w:val="continue"/>
            <w:vAlign w:val="center"/>
          </w:tcPr>
          <w:p w14:paraId="0D532C2A">
            <w:pPr>
              <w:snapToGrid w:val="0"/>
              <w:spacing w:line="500" w:lineRule="exact"/>
              <w:jc w:val="center"/>
              <w:rPr>
                <w:rFonts w:hint="eastAsia" w:ascii="宋体" w:hAnsi="宋体" w:eastAsia="宋体"/>
                <w:color w:val="auto"/>
                <w:szCs w:val="21"/>
              </w:rPr>
            </w:pPr>
          </w:p>
        </w:tc>
        <w:tc>
          <w:tcPr>
            <w:tcW w:w="2675" w:type="dxa"/>
            <w:vAlign w:val="center"/>
          </w:tcPr>
          <w:p w14:paraId="57B74B1E">
            <w:pPr>
              <w:snapToGrid w:val="0"/>
              <w:spacing w:line="500" w:lineRule="exact"/>
              <w:rPr>
                <w:rFonts w:hint="eastAsia" w:ascii="宋体" w:hAnsi="宋体" w:eastAsia="宋体"/>
                <w:color w:val="auto"/>
                <w:szCs w:val="21"/>
              </w:rPr>
            </w:pPr>
            <w:r>
              <w:rPr>
                <w:rFonts w:hint="eastAsia" w:ascii="宋体" w:hAnsi="宋体" w:eastAsia="宋体"/>
                <w:color w:val="auto"/>
                <w:szCs w:val="21"/>
              </w:rPr>
              <w:t>投放口指示牌500mm*700mm</w:t>
            </w:r>
          </w:p>
          <w:p w14:paraId="17828CA4">
            <w:pPr>
              <w:snapToGrid w:val="0"/>
              <w:spacing w:line="500" w:lineRule="exact"/>
              <w:rPr>
                <w:rFonts w:hint="eastAsia" w:ascii="宋体" w:hAnsi="宋体" w:eastAsia="宋体"/>
                <w:color w:val="auto"/>
                <w:szCs w:val="21"/>
              </w:rPr>
            </w:pPr>
            <w:r>
              <w:rPr>
                <w:rFonts w:hint="eastAsia" w:ascii="宋体" w:hAnsi="宋体" w:eastAsia="宋体"/>
                <w:color w:val="auto"/>
                <w:szCs w:val="21"/>
              </w:rPr>
              <w:t>材质：5mm亚克力背面平板UV打印</w:t>
            </w:r>
          </w:p>
        </w:tc>
        <w:tc>
          <w:tcPr>
            <w:tcW w:w="275" w:type="dxa"/>
            <w:vAlign w:val="center"/>
          </w:tcPr>
          <w:p w14:paraId="48811031">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套</w:t>
            </w:r>
          </w:p>
        </w:tc>
        <w:tc>
          <w:tcPr>
            <w:tcW w:w="802" w:type="dxa"/>
            <w:vAlign w:val="center"/>
          </w:tcPr>
          <w:p w14:paraId="0E0E1F28">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4</w:t>
            </w:r>
          </w:p>
        </w:tc>
      </w:tr>
      <w:tr w14:paraId="32172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353" w:type="dxa"/>
            <w:vAlign w:val="center"/>
          </w:tcPr>
          <w:p w14:paraId="5D82E596">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7</w:t>
            </w:r>
          </w:p>
        </w:tc>
        <w:tc>
          <w:tcPr>
            <w:tcW w:w="892" w:type="dxa"/>
            <w:vAlign w:val="center"/>
          </w:tcPr>
          <w:p w14:paraId="67232A57">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门头标识（根据实际情况可调整尺寸）</w:t>
            </w:r>
          </w:p>
        </w:tc>
        <w:tc>
          <w:tcPr>
            <w:tcW w:w="2675" w:type="dxa"/>
            <w:vAlign w:val="center"/>
          </w:tcPr>
          <w:p w14:paraId="72002842">
            <w:pPr>
              <w:snapToGrid w:val="0"/>
              <w:spacing w:line="500" w:lineRule="exact"/>
              <w:rPr>
                <w:rFonts w:hint="eastAsia" w:ascii="宋体" w:hAnsi="宋体" w:eastAsia="宋体"/>
                <w:color w:val="auto"/>
                <w:szCs w:val="21"/>
              </w:rPr>
            </w:pPr>
            <w:r>
              <w:rPr>
                <w:rFonts w:hint="eastAsia" w:ascii="宋体" w:hAnsi="宋体" w:eastAsia="宋体"/>
                <w:color w:val="auto"/>
                <w:szCs w:val="21"/>
              </w:rPr>
              <w:t>绿色，单字165mm*160mm；材质：10mmPVC雕刻字（含文化墙）</w:t>
            </w:r>
          </w:p>
        </w:tc>
        <w:tc>
          <w:tcPr>
            <w:tcW w:w="275" w:type="dxa"/>
            <w:vAlign w:val="center"/>
          </w:tcPr>
          <w:p w14:paraId="7FE190F7">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套</w:t>
            </w:r>
          </w:p>
        </w:tc>
        <w:tc>
          <w:tcPr>
            <w:tcW w:w="802" w:type="dxa"/>
            <w:vAlign w:val="center"/>
          </w:tcPr>
          <w:p w14:paraId="090389AB">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5397E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353" w:type="dxa"/>
            <w:vAlign w:val="center"/>
          </w:tcPr>
          <w:p w14:paraId="2830ACCA">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8</w:t>
            </w:r>
          </w:p>
        </w:tc>
        <w:tc>
          <w:tcPr>
            <w:tcW w:w="892" w:type="dxa"/>
            <w:vAlign w:val="center"/>
          </w:tcPr>
          <w:p w14:paraId="149191A9">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照明灯具</w:t>
            </w:r>
          </w:p>
        </w:tc>
        <w:tc>
          <w:tcPr>
            <w:tcW w:w="2675" w:type="dxa"/>
            <w:vAlign w:val="center"/>
          </w:tcPr>
          <w:p w14:paraId="5680E101">
            <w:pPr>
              <w:snapToGrid w:val="0"/>
              <w:spacing w:line="500" w:lineRule="exact"/>
              <w:rPr>
                <w:rFonts w:hint="eastAsia" w:ascii="宋体" w:hAnsi="宋体" w:eastAsia="宋体"/>
                <w:color w:val="auto"/>
                <w:szCs w:val="21"/>
              </w:rPr>
            </w:pPr>
            <w:r>
              <w:rPr>
                <w:rFonts w:hint="eastAsia" w:ascii="宋体" w:hAnsi="宋体" w:eastAsia="宋体"/>
                <w:color w:val="auto"/>
                <w:szCs w:val="21"/>
              </w:rPr>
              <w:t>LED节能照明灯具：尺寸：300mm*300mm，功率：20W</w:t>
            </w:r>
          </w:p>
        </w:tc>
        <w:tc>
          <w:tcPr>
            <w:tcW w:w="275" w:type="dxa"/>
            <w:vAlign w:val="center"/>
          </w:tcPr>
          <w:p w14:paraId="5AC5EFD8">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盏</w:t>
            </w:r>
          </w:p>
        </w:tc>
        <w:tc>
          <w:tcPr>
            <w:tcW w:w="802" w:type="dxa"/>
            <w:vAlign w:val="center"/>
          </w:tcPr>
          <w:p w14:paraId="4A2983C1">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满足室内照明需要</w:t>
            </w:r>
          </w:p>
        </w:tc>
      </w:tr>
      <w:tr w14:paraId="5EA34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353" w:type="dxa"/>
            <w:vAlign w:val="center"/>
          </w:tcPr>
          <w:p w14:paraId="67C27A3A">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9</w:t>
            </w:r>
          </w:p>
        </w:tc>
        <w:tc>
          <w:tcPr>
            <w:tcW w:w="892" w:type="dxa"/>
            <w:vAlign w:val="center"/>
          </w:tcPr>
          <w:p w14:paraId="66E9C181">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厨余垃圾分拣器</w:t>
            </w:r>
          </w:p>
        </w:tc>
        <w:tc>
          <w:tcPr>
            <w:tcW w:w="2675" w:type="dxa"/>
            <w:vAlign w:val="center"/>
          </w:tcPr>
          <w:p w14:paraId="589B129F">
            <w:pPr>
              <w:snapToGrid w:val="0"/>
              <w:spacing w:line="500" w:lineRule="exact"/>
              <w:rPr>
                <w:rFonts w:hint="eastAsia" w:ascii="宋体" w:hAnsi="宋体" w:eastAsia="宋体"/>
                <w:color w:val="auto"/>
                <w:szCs w:val="21"/>
              </w:rPr>
            </w:pPr>
            <w:r>
              <w:rPr>
                <w:rFonts w:hint="eastAsia" w:ascii="宋体" w:hAnsi="宋体" w:eastAsia="宋体"/>
                <w:color w:val="auto"/>
                <w:szCs w:val="21"/>
              </w:rPr>
              <w:t>1、规格尺寸：660mm*590mm*150mm</w:t>
            </w:r>
          </w:p>
          <w:p w14:paraId="4ED89EBA">
            <w:pPr>
              <w:snapToGrid w:val="0"/>
              <w:spacing w:line="500" w:lineRule="exact"/>
              <w:rPr>
                <w:rFonts w:hint="eastAsia" w:ascii="宋体" w:hAnsi="宋体" w:eastAsia="宋体"/>
                <w:color w:val="auto"/>
                <w:szCs w:val="21"/>
              </w:rPr>
            </w:pPr>
            <w:r>
              <w:rPr>
                <w:rFonts w:hint="eastAsia" w:ascii="宋体" w:hAnsi="宋体" w:eastAsia="宋体"/>
                <w:color w:val="auto"/>
                <w:szCs w:val="21"/>
              </w:rPr>
              <w:t>2、材质：采用SUS304不锈钢厚1.5mm</w:t>
            </w:r>
          </w:p>
          <w:p w14:paraId="45203C67">
            <w:pPr>
              <w:snapToGrid w:val="0"/>
              <w:spacing w:line="500" w:lineRule="exact"/>
              <w:rPr>
                <w:rFonts w:hint="eastAsia" w:ascii="宋体" w:hAnsi="宋体" w:eastAsia="宋体"/>
                <w:color w:val="auto"/>
                <w:szCs w:val="21"/>
              </w:rPr>
            </w:pPr>
            <w:r>
              <w:rPr>
                <w:rFonts w:hint="eastAsia" w:ascii="宋体" w:hAnsi="宋体" w:eastAsia="宋体"/>
                <w:color w:val="auto"/>
                <w:szCs w:val="21"/>
              </w:rPr>
              <w:t>3、破袋器：304不锈钢材质</w:t>
            </w:r>
          </w:p>
        </w:tc>
        <w:tc>
          <w:tcPr>
            <w:tcW w:w="275" w:type="dxa"/>
            <w:vAlign w:val="center"/>
          </w:tcPr>
          <w:p w14:paraId="68F4FD57">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套</w:t>
            </w:r>
          </w:p>
        </w:tc>
        <w:tc>
          <w:tcPr>
            <w:tcW w:w="802" w:type="dxa"/>
            <w:vAlign w:val="center"/>
          </w:tcPr>
          <w:p w14:paraId="37EB1523">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70B81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353" w:type="dxa"/>
            <w:vAlign w:val="center"/>
          </w:tcPr>
          <w:p w14:paraId="4F4F56CD">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10</w:t>
            </w:r>
          </w:p>
        </w:tc>
        <w:tc>
          <w:tcPr>
            <w:tcW w:w="892" w:type="dxa"/>
            <w:vAlign w:val="center"/>
          </w:tcPr>
          <w:p w14:paraId="28666881">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壁挂式灭蝇灯</w:t>
            </w:r>
          </w:p>
        </w:tc>
        <w:tc>
          <w:tcPr>
            <w:tcW w:w="2675" w:type="dxa"/>
            <w:vAlign w:val="center"/>
          </w:tcPr>
          <w:p w14:paraId="1D9C8D14">
            <w:pPr>
              <w:snapToGrid w:val="0"/>
              <w:spacing w:line="500" w:lineRule="exact"/>
              <w:rPr>
                <w:rFonts w:hint="eastAsia" w:ascii="宋体" w:hAnsi="宋体" w:eastAsia="宋体"/>
                <w:color w:val="auto"/>
                <w:szCs w:val="21"/>
              </w:rPr>
            </w:pPr>
            <w:r>
              <w:rPr>
                <w:rFonts w:hint="eastAsia" w:ascii="宋体" w:hAnsi="宋体" w:eastAsia="宋体"/>
                <w:color w:val="auto"/>
                <w:szCs w:val="21"/>
              </w:rPr>
              <w:t>功率：30W；材质：ABS防火材质；电压：220V-50Hz</w:t>
            </w:r>
          </w:p>
        </w:tc>
        <w:tc>
          <w:tcPr>
            <w:tcW w:w="275" w:type="dxa"/>
            <w:vAlign w:val="center"/>
          </w:tcPr>
          <w:p w14:paraId="00A59091">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件</w:t>
            </w:r>
          </w:p>
        </w:tc>
        <w:tc>
          <w:tcPr>
            <w:tcW w:w="802" w:type="dxa"/>
            <w:vAlign w:val="center"/>
          </w:tcPr>
          <w:p w14:paraId="390874F8">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34F5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353" w:type="dxa"/>
            <w:vAlign w:val="center"/>
          </w:tcPr>
          <w:p w14:paraId="1ABFAD21">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11</w:t>
            </w:r>
          </w:p>
        </w:tc>
        <w:tc>
          <w:tcPr>
            <w:tcW w:w="892" w:type="dxa"/>
            <w:vAlign w:val="center"/>
          </w:tcPr>
          <w:p w14:paraId="605513FF">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高压冲洗设备</w:t>
            </w:r>
          </w:p>
        </w:tc>
        <w:tc>
          <w:tcPr>
            <w:tcW w:w="2675" w:type="dxa"/>
            <w:vAlign w:val="center"/>
          </w:tcPr>
          <w:p w14:paraId="669E535C">
            <w:pPr>
              <w:snapToGrid w:val="0"/>
              <w:spacing w:line="500" w:lineRule="exact"/>
              <w:rPr>
                <w:rFonts w:hint="eastAsia" w:ascii="宋体" w:hAnsi="宋体" w:eastAsia="宋体"/>
                <w:color w:val="auto"/>
                <w:szCs w:val="21"/>
              </w:rPr>
            </w:pPr>
            <w:r>
              <w:rPr>
                <w:rFonts w:hint="eastAsia" w:ascii="宋体" w:hAnsi="宋体" w:eastAsia="宋体"/>
                <w:color w:val="auto"/>
                <w:szCs w:val="21"/>
              </w:rPr>
              <w:t>全身IPX5防水，低噪音风冷感应电机；额定电压：220V；功率：≥1.3KW；出水压力：≥120bar；流量：≤7L/min</w:t>
            </w:r>
          </w:p>
          <w:p w14:paraId="2E4A9266">
            <w:pPr>
              <w:snapToGrid w:val="0"/>
              <w:spacing w:line="500" w:lineRule="exact"/>
              <w:rPr>
                <w:rFonts w:hint="eastAsia" w:ascii="宋体" w:hAnsi="宋体" w:eastAsia="宋体"/>
                <w:color w:val="auto"/>
                <w:szCs w:val="21"/>
              </w:rPr>
            </w:pPr>
            <w:r>
              <w:rPr>
                <w:rFonts w:hint="eastAsia" w:ascii="宋体" w:hAnsi="宋体" w:eastAsia="宋体"/>
                <w:color w:val="auto"/>
                <w:szCs w:val="21"/>
              </w:rPr>
              <w:t>高压管长度：≥5米；电线长度：≥5米</w:t>
            </w:r>
          </w:p>
        </w:tc>
        <w:tc>
          <w:tcPr>
            <w:tcW w:w="275" w:type="dxa"/>
            <w:vAlign w:val="center"/>
          </w:tcPr>
          <w:p w14:paraId="675B1779">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套</w:t>
            </w:r>
          </w:p>
        </w:tc>
        <w:tc>
          <w:tcPr>
            <w:tcW w:w="802" w:type="dxa"/>
            <w:vAlign w:val="center"/>
          </w:tcPr>
          <w:p w14:paraId="62D40AB4">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1A36F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353" w:type="dxa"/>
            <w:vAlign w:val="center"/>
          </w:tcPr>
          <w:p w14:paraId="07514F6C">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12</w:t>
            </w:r>
          </w:p>
        </w:tc>
        <w:tc>
          <w:tcPr>
            <w:tcW w:w="892" w:type="dxa"/>
            <w:vAlign w:val="center"/>
          </w:tcPr>
          <w:p w14:paraId="30DDE080">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给水配件、五金、电缆</w:t>
            </w:r>
          </w:p>
        </w:tc>
        <w:tc>
          <w:tcPr>
            <w:tcW w:w="2675" w:type="dxa"/>
            <w:vAlign w:val="center"/>
          </w:tcPr>
          <w:p w14:paraId="379096F0">
            <w:pPr>
              <w:snapToGrid w:val="0"/>
              <w:spacing w:line="500" w:lineRule="exact"/>
              <w:rPr>
                <w:rFonts w:hint="eastAsia" w:ascii="宋体" w:hAnsi="宋体" w:eastAsia="宋体"/>
                <w:color w:val="auto"/>
                <w:szCs w:val="21"/>
              </w:rPr>
            </w:pPr>
            <w:r>
              <w:rPr>
                <w:rFonts w:hint="eastAsia" w:ascii="宋体" w:hAnsi="宋体" w:eastAsia="宋体"/>
                <w:color w:val="auto"/>
                <w:szCs w:val="21"/>
              </w:rPr>
              <w:t>配套管件、五金（钻尾螺钉等）</w:t>
            </w:r>
          </w:p>
        </w:tc>
        <w:tc>
          <w:tcPr>
            <w:tcW w:w="275" w:type="dxa"/>
            <w:vAlign w:val="center"/>
          </w:tcPr>
          <w:p w14:paraId="58814B85">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项</w:t>
            </w:r>
          </w:p>
        </w:tc>
        <w:tc>
          <w:tcPr>
            <w:tcW w:w="802" w:type="dxa"/>
            <w:vAlign w:val="center"/>
          </w:tcPr>
          <w:p w14:paraId="4B080374">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1C044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353" w:type="dxa"/>
            <w:vAlign w:val="center"/>
          </w:tcPr>
          <w:p w14:paraId="3CB34BF0">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13</w:t>
            </w:r>
          </w:p>
        </w:tc>
        <w:tc>
          <w:tcPr>
            <w:tcW w:w="892" w:type="dxa"/>
            <w:vAlign w:val="center"/>
          </w:tcPr>
          <w:p w14:paraId="669F2BAA">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Led显示屏</w:t>
            </w:r>
          </w:p>
        </w:tc>
        <w:tc>
          <w:tcPr>
            <w:tcW w:w="2675" w:type="dxa"/>
            <w:vAlign w:val="center"/>
          </w:tcPr>
          <w:p w14:paraId="0E402CDE">
            <w:pPr>
              <w:snapToGrid w:val="0"/>
              <w:spacing w:line="500" w:lineRule="exact"/>
              <w:rPr>
                <w:rFonts w:hint="eastAsia" w:ascii="宋体" w:hAnsi="宋体" w:eastAsia="宋体"/>
                <w:color w:val="auto"/>
                <w:szCs w:val="21"/>
              </w:rPr>
            </w:pPr>
            <w:r>
              <w:rPr>
                <w:rFonts w:hint="eastAsia" w:ascii="宋体" w:hAnsi="宋体" w:eastAsia="宋体"/>
                <w:color w:val="auto"/>
                <w:szCs w:val="21"/>
              </w:rPr>
              <w:t>点间距：P10，尺寸根据实际订制，不少于3米，高度不少于25cm，单元板分辨率（点）：32*16，每平方米像素：10000点/平方米，亮度：大于等于1000cd/平方米，刷新率：大于等于120Hz，开关控制：单独线路控制开关</w:t>
            </w:r>
          </w:p>
        </w:tc>
        <w:tc>
          <w:tcPr>
            <w:tcW w:w="275" w:type="dxa"/>
            <w:vAlign w:val="center"/>
          </w:tcPr>
          <w:p w14:paraId="58DF85DD">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个</w:t>
            </w:r>
          </w:p>
        </w:tc>
        <w:tc>
          <w:tcPr>
            <w:tcW w:w="802" w:type="dxa"/>
            <w:vAlign w:val="center"/>
          </w:tcPr>
          <w:p w14:paraId="1A4CA4DA">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64A0D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353" w:type="dxa"/>
            <w:vAlign w:val="center"/>
          </w:tcPr>
          <w:p w14:paraId="20AF760B">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14</w:t>
            </w:r>
          </w:p>
        </w:tc>
        <w:tc>
          <w:tcPr>
            <w:tcW w:w="892" w:type="dxa"/>
            <w:vAlign w:val="center"/>
          </w:tcPr>
          <w:p w14:paraId="0B3BA748">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除臭设备</w:t>
            </w:r>
          </w:p>
        </w:tc>
        <w:tc>
          <w:tcPr>
            <w:tcW w:w="2675" w:type="dxa"/>
            <w:vAlign w:val="center"/>
          </w:tcPr>
          <w:p w14:paraId="295EA23F">
            <w:pPr>
              <w:snapToGrid w:val="0"/>
              <w:spacing w:line="500" w:lineRule="exact"/>
              <w:rPr>
                <w:rFonts w:hint="eastAsia" w:ascii="宋体" w:hAnsi="宋体" w:eastAsia="宋体"/>
                <w:color w:val="auto"/>
                <w:szCs w:val="21"/>
              </w:rPr>
            </w:pPr>
            <w:r>
              <w:rPr>
                <w:rFonts w:hint="eastAsia" w:ascii="宋体" w:hAnsi="宋体" w:eastAsia="宋体"/>
                <w:color w:val="auto"/>
                <w:szCs w:val="21"/>
              </w:rPr>
              <w:t>采用光触媒或异味控制杀菌机（处理风量98m/h），处理主要污染气体：H2S、NH3、甲硫醇、甲硫等</w:t>
            </w:r>
          </w:p>
        </w:tc>
        <w:tc>
          <w:tcPr>
            <w:tcW w:w="275" w:type="dxa"/>
            <w:vAlign w:val="center"/>
          </w:tcPr>
          <w:p w14:paraId="3AB7078C">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个</w:t>
            </w:r>
          </w:p>
        </w:tc>
        <w:tc>
          <w:tcPr>
            <w:tcW w:w="802" w:type="dxa"/>
            <w:vAlign w:val="center"/>
          </w:tcPr>
          <w:p w14:paraId="6E660E89">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19096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353" w:type="dxa"/>
            <w:vAlign w:val="center"/>
          </w:tcPr>
          <w:p w14:paraId="509B237D">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15</w:t>
            </w:r>
          </w:p>
        </w:tc>
        <w:tc>
          <w:tcPr>
            <w:tcW w:w="892" w:type="dxa"/>
            <w:vAlign w:val="center"/>
          </w:tcPr>
          <w:p w14:paraId="3580BBB8">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电表和小型断路器</w:t>
            </w:r>
          </w:p>
        </w:tc>
        <w:tc>
          <w:tcPr>
            <w:tcW w:w="2675" w:type="dxa"/>
            <w:vAlign w:val="center"/>
          </w:tcPr>
          <w:p w14:paraId="55587442">
            <w:pPr>
              <w:snapToGrid w:val="0"/>
              <w:spacing w:line="500" w:lineRule="exact"/>
              <w:rPr>
                <w:rFonts w:hint="eastAsia" w:ascii="宋体" w:hAnsi="宋体" w:eastAsia="宋体"/>
                <w:color w:val="auto"/>
                <w:szCs w:val="21"/>
              </w:rPr>
            </w:pPr>
            <w:r>
              <w:rPr>
                <w:rFonts w:hint="eastAsia" w:ascii="宋体" w:hAnsi="宋体" w:eastAsia="宋体"/>
                <w:color w:val="auto"/>
                <w:szCs w:val="21"/>
              </w:rPr>
              <w:t>配有品牌家用单相电度表；</w:t>
            </w:r>
          </w:p>
          <w:p w14:paraId="56C6CCB3">
            <w:pPr>
              <w:snapToGrid w:val="0"/>
              <w:spacing w:line="500" w:lineRule="exact"/>
              <w:rPr>
                <w:rFonts w:hint="eastAsia" w:ascii="宋体" w:hAnsi="宋体" w:eastAsia="宋体"/>
                <w:color w:val="auto"/>
                <w:szCs w:val="21"/>
              </w:rPr>
            </w:pPr>
            <w:r>
              <w:rPr>
                <w:rFonts w:hint="eastAsia" w:ascii="宋体" w:hAnsi="宋体" w:eastAsia="宋体"/>
                <w:color w:val="auto"/>
                <w:szCs w:val="21"/>
              </w:rPr>
              <w:t>配有品牌空气开关</w:t>
            </w:r>
          </w:p>
        </w:tc>
        <w:tc>
          <w:tcPr>
            <w:tcW w:w="275" w:type="dxa"/>
            <w:vAlign w:val="center"/>
          </w:tcPr>
          <w:p w14:paraId="5E3685F7">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套</w:t>
            </w:r>
          </w:p>
        </w:tc>
        <w:tc>
          <w:tcPr>
            <w:tcW w:w="802" w:type="dxa"/>
            <w:vAlign w:val="center"/>
          </w:tcPr>
          <w:p w14:paraId="7DC1C037">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w:t>
            </w:r>
          </w:p>
        </w:tc>
      </w:tr>
      <w:tr w14:paraId="241B3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53" w:type="dxa"/>
            <w:vAlign w:val="center"/>
          </w:tcPr>
          <w:p w14:paraId="525F3398">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16</w:t>
            </w:r>
          </w:p>
        </w:tc>
        <w:tc>
          <w:tcPr>
            <w:tcW w:w="892" w:type="dxa"/>
            <w:vAlign w:val="center"/>
          </w:tcPr>
          <w:p w14:paraId="1726075D">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防水开关及插座面板</w:t>
            </w:r>
          </w:p>
        </w:tc>
        <w:tc>
          <w:tcPr>
            <w:tcW w:w="2675" w:type="dxa"/>
            <w:vAlign w:val="center"/>
          </w:tcPr>
          <w:p w14:paraId="61F16AEE">
            <w:pPr>
              <w:snapToGrid w:val="0"/>
              <w:spacing w:line="360" w:lineRule="auto"/>
              <w:rPr>
                <w:rFonts w:hint="eastAsia" w:ascii="宋体" w:hAnsi="宋体" w:eastAsia="宋体"/>
                <w:color w:val="auto"/>
                <w:szCs w:val="21"/>
              </w:rPr>
            </w:pPr>
            <w:r>
              <w:rPr>
                <w:rFonts w:hint="eastAsia" w:ascii="宋体" w:hAnsi="宋体" w:eastAsia="宋体"/>
                <w:color w:val="auto"/>
                <w:szCs w:val="21"/>
              </w:rPr>
              <w:t>开关：尺寸86mm*86m，单开单控；</w:t>
            </w:r>
          </w:p>
          <w:p w14:paraId="21CBD271">
            <w:pPr>
              <w:snapToGrid w:val="0"/>
              <w:spacing w:line="360" w:lineRule="auto"/>
              <w:rPr>
                <w:rFonts w:hint="eastAsia" w:ascii="宋体" w:hAnsi="宋体" w:eastAsia="宋体"/>
                <w:color w:val="auto"/>
                <w:szCs w:val="21"/>
              </w:rPr>
            </w:pPr>
            <w:r>
              <w:rPr>
                <w:rFonts w:hint="eastAsia" w:ascii="宋体" w:hAnsi="宋体" w:eastAsia="宋体"/>
                <w:color w:val="auto"/>
                <w:szCs w:val="21"/>
              </w:rPr>
              <w:t>插座：尺寸86mm*86mm，10A五孔，另预留3个5孔插座，按实际订制</w:t>
            </w:r>
          </w:p>
        </w:tc>
        <w:tc>
          <w:tcPr>
            <w:tcW w:w="275" w:type="dxa"/>
            <w:vAlign w:val="center"/>
          </w:tcPr>
          <w:p w14:paraId="50FA98B5">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个</w:t>
            </w:r>
          </w:p>
        </w:tc>
        <w:tc>
          <w:tcPr>
            <w:tcW w:w="802" w:type="dxa"/>
            <w:vAlign w:val="center"/>
          </w:tcPr>
          <w:p w14:paraId="456E37A8">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数量满足正常使用，另预留3个5孔插座</w:t>
            </w:r>
          </w:p>
        </w:tc>
      </w:tr>
      <w:tr w14:paraId="4ADF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353" w:type="dxa"/>
            <w:vAlign w:val="center"/>
          </w:tcPr>
          <w:p w14:paraId="25B9D4E2">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17</w:t>
            </w:r>
          </w:p>
        </w:tc>
        <w:tc>
          <w:tcPr>
            <w:tcW w:w="892" w:type="dxa"/>
            <w:vAlign w:val="center"/>
          </w:tcPr>
          <w:p w14:paraId="59FB7C6D">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电动铝合金卷帘门遥控器</w:t>
            </w:r>
          </w:p>
        </w:tc>
        <w:tc>
          <w:tcPr>
            <w:tcW w:w="2675" w:type="dxa"/>
            <w:vAlign w:val="center"/>
          </w:tcPr>
          <w:p w14:paraId="7D606C18">
            <w:pPr>
              <w:snapToGrid w:val="0"/>
              <w:spacing w:line="500" w:lineRule="exact"/>
              <w:rPr>
                <w:rFonts w:hint="eastAsia" w:ascii="宋体" w:hAnsi="宋体" w:eastAsia="宋体"/>
                <w:color w:val="auto"/>
                <w:szCs w:val="21"/>
              </w:rPr>
            </w:pPr>
            <w:r>
              <w:rPr>
                <w:rFonts w:hint="eastAsia" w:ascii="宋体" w:hAnsi="宋体" w:eastAsia="宋体"/>
                <w:color w:val="auto"/>
                <w:szCs w:val="21"/>
              </w:rPr>
              <w:t>遥控器</w:t>
            </w:r>
            <w:r>
              <w:rPr>
                <w:rFonts w:hint="eastAsia" w:ascii="宋体" w:hAnsi="宋体" w:eastAsia="宋体"/>
                <w:color w:val="auto"/>
                <w:szCs w:val="21"/>
                <w:lang w:eastAsia="zh-CN"/>
              </w:rPr>
              <w:t>所有</w:t>
            </w:r>
            <w:r>
              <w:rPr>
                <w:rFonts w:hint="eastAsia" w:ascii="宋体" w:hAnsi="宋体" w:eastAsia="宋体"/>
                <w:color w:val="auto"/>
                <w:szCs w:val="21"/>
              </w:rPr>
              <w:t>小区内可以通用，一把遥控器可以控制所有小区垃圾分类房卷帘门</w:t>
            </w:r>
          </w:p>
        </w:tc>
        <w:tc>
          <w:tcPr>
            <w:tcW w:w="275" w:type="dxa"/>
            <w:vAlign w:val="center"/>
          </w:tcPr>
          <w:p w14:paraId="3DAC6DC7">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把</w:t>
            </w:r>
          </w:p>
        </w:tc>
        <w:tc>
          <w:tcPr>
            <w:tcW w:w="802" w:type="dxa"/>
            <w:vAlign w:val="center"/>
          </w:tcPr>
          <w:p w14:paraId="2561A044">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每个垃圾房</w:t>
            </w:r>
            <w:r>
              <w:rPr>
                <w:rFonts w:hint="eastAsia" w:ascii="宋体" w:hAnsi="宋体" w:eastAsia="宋体"/>
                <w:color w:val="auto"/>
                <w:szCs w:val="21"/>
                <w:lang w:val="en-US" w:eastAsia="zh-CN"/>
              </w:rPr>
              <w:t>2</w:t>
            </w:r>
            <w:r>
              <w:rPr>
                <w:rFonts w:hint="eastAsia" w:ascii="宋体" w:hAnsi="宋体" w:eastAsia="宋体"/>
                <w:color w:val="auto"/>
                <w:szCs w:val="21"/>
              </w:rPr>
              <w:t>把，另再加4把</w:t>
            </w:r>
          </w:p>
        </w:tc>
      </w:tr>
      <w:tr w14:paraId="1E978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jc w:val="center"/>
        </w:trPr>
        <w:tc>
          <w:tcPr>
            <w:tcW w:w="353" w:type="dxa"/>
            <w:vAlign w:val="center"/>
          </w:tcPr>
          <w:p w14:paraId="7BAAD7BB">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18</w:t>
            </w:r>
          </w:p>
        </w:tc>
        <w:tc>
          <w:tcPr>
            <w:tcW w:w="892" w:type="dxa"/>
            <w:vAlign w:val="center"/>
          </w:tcPr>
          <w:p w14:paraId="5D6ED3FC">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240L垃圾桶</w:t>
            </w:r>
          </w:p>
        </w:tc>
        <w:tc>
          <w:tcPr>
            <w:tcW w:w="2675" w:type="dxa"/>
            <w:vAlign w:val="center"/>
          </w:tcPr>
          <w:p w14:paraId="65966BD5">
            <w:pPr>
              <w:snapToGrid w:val="0"/>
              <w:spacing w:line="360" w:lineRule="auto"/>
              <w:rPr>
                <w:rFonts w:hint="eastAsia" w:ascii="宋体" w:hAnsi="宋体" w:eastAsia="宋体"/>
                <w:color w:val="auto"/>
                <w:szCs w:val="21"/>
              </w:rPr>
            </w:pPr>
            <w:r>
              <w:rPr>
                <w:rFonts w:hint="eastAsia" w:ascii="宋体" w:hAnsi="宋体" w:eastAsia="宋体"/>
                <w:color w:val="auto"/>
                <w:szCs w:val="21"/>
              </w:rPr>
              <w:t>高密度聚乙烯材质</w:t>
            </w:r>
          </w:p>
        </w:tc>
        <w:tc>
          <w:tcPr>
            <w:tcW w:w="275" w:type="dxa"/>
            <w:vAlign w:val="center"/>
          </w:tcPr>
          <w:p w14:paraId="2FC936BC">
            <w:pPr>
              <w:snapToGrid w:val="0"/>
              <w:spacing w:line="500" w:lineRule="exact"/>
              <w:jc w:val="center"/>
              <w:rPr>
                <w:rFonts w:hint="eastAsia" w:ascii="宋体" w:hAnsi="宋体" w:eastAsia="宋体"/>
                <w:color w:val="auto"/>
                <w:szCs w:val="21"/>
              </w:rPr>
            </w:pPr>
            <w:r>
              <w:rPr>
                <w:rFonts w:hint="eastAsia" w:ascii="宋体" w:hAnsi="宋体" w:eastAsia="宋体"/>
                <w:color w:val="auto"/>
                <w:szCs w:val="21"/>
              </w:rPr>
              <w:t>只</w:t>
            </w:r>
          </w:p>
        </w:tc>
        <w:tc>
          <w:tcPr>
            <w:tcW w:w="802" w:type="dxa"/>
            <w:vAlign w:val="center"/>
          </w:tcPr>
          <w:p w14:paraId="11FABBAE">
            <w:pPr>
              <w:pStyle w:val="31"/>
              <w:spacing w:line="240" w:lineRule="auto"/>
              <w:jc w:val="center"/>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6只其他垃圾桶、2只餐厨垃圾桶、1只可回收物垃圾桶、1只有害垃圾桶</w:t>
            </w:r>
          </w:p>
        </w:tc>
      </w:tr>
    </w:tbl>
    <w:p w14:paraId="294B95B1">
      <w:pPr>
        <w:spacing w:line="440" w:lineRule="exact"/>
        <w:ind w:firstLine="482" w:firstLineChars="200"/>
        <w:jc w:val="left"/>
        <w:rPr>
          <w:rFonts w:hint="eastAsia" w:ascii="宋体" w:hAnsi="宋体" w:eastAsia="宋体" w:cs="黑体"/>
          <w:b/>
          <w:bCs/>
          <w:color w:val="auto"/>
          <w:sz w:val="24"/>
          <w:szCs w:val="24"/>
          <w:lang w:eastAsia="zh-CN"/>
        </w:rPr>
      </w:pPr>
      <w:r>
        <w:rPr>
          <w:rFonts w:hint="eastAsia" w:ascii="宋体" w:hAnsi="宋体" w:cs="黑体"/>
          <w:b/>
          <w:bCs/>
          <w:color w:val="auto"/>
          <w:sz w:val="24"/>
          <w:szCs w:val="24"/>
        </w:rPr>
        <w:t>（</w:t>
      </w:r>
      <w:r>
        <w:rPr>
          <w:rFonts w:hint="eastAsia" w:ascii="宋体" w:hAnsi="宋体" w:cs="黑体"/>
          <w:b/>
          <w:bCs/>
          <w:color w:val="auto"/>
          <w:sz w:val="24"/>
          <w:szCs w:val="24"/>
          <w:lang w:val="en-US" w:eastAsia="zh-CN"/>
        </w:rPr>
        <w:t>四</w:t>
      </w:r>
      <w:r>
        <w:rPr>
          <w:rFonts w:hint="eastAsia" w:ascii="宋体" w:hAnsi="宋体" w:cs="黑体"/>
          <w:b/>
          <w:bCs/>
          <w:color w:val="auto"/>
          <w:sz w:val="24"/>
          <w:szCs w:val="24"/>
        </w:rPr>
        <w:t>）商务要求</w:t>
      </w:r>
    </w:p>
    <w:p w14:paraId="0920618F">
      <w:pPr>
        <w:spacing w:line="440" w:lineRule="exact"/>
        <w:ind w:firstLine="480" w:firstLineChars="200"/>
        <w:jc w:val="left"/>
        <w:rPr>
          <w:rFonts w:hint="eastAsia" w:ascii="宋体" w:hAnsi="宋体" w:eastAsia="宋体" w:cs="黑体"/>
          <w:color w:val="auto"/>
          <w:sz w:val="24"/>
          <w:szCs w:val="24"/>
        </w:rPr>
      </w:pPr>
      <w:r>
        <w:rPr>
          <w:rFonts w:hint="eastAsia" w:ascii="宋体" w:hAnsi="宋体" w:eastAsia="宋体" w:cs="黑体"/>
          <w:color w:val="auto"/>
          <w:sz w:val="24"/>
          <w:szCs w:val="24"/>
        </w:rPr>
        <w:t>（1）供货与安装周期：接到采购单位通知后</w:t>
      </w:r>
      <w:r>
        <w:rPr>
          <w:rFonts w:hint="eastAsia" w:ascii="宋体" w:hAnsi="宋体" w:eastAsia="宋体" w:cs="黑体"/>
          <w:color w:val="auto"/>
          <w:sz w:val="24"/>
          <w:szCs w:val="24"/>
          <w:lang w:val="en-US" w:eastAsia="zh-CN"/>
        </w:rPr>
        <w:t>30</w:t>
      </w:r>
      <w:r>
        <w:rPr>
          <w:rFonts w:hint="eastAsia" w:ascii="宋体" w:hAnsi="宋体" w:eastAsia="宋体" w:cs="黑体"/>
          <w:color w:val="auto"/>
          <w:sz w:val="24"/>
          <w:szCs w:val="24"/>
        </w:rPr>
        <w:t>天内完成供货、安装、调试并经采购单位验收合格。</w:t>
      </w:r>
    </w:p>
    <w:p w14:paraId="1A80914A">
      <w:pPr>
        <w:spacing w:line="440" w:lineRule="exact"/>
        <w:ind w:firstLine="480" w:firstLineChars="200"/>
        <w:jc w:val="left"/>
        <w:rPr>
          <w:rFonts w:hint="eastAsia" w:ascii="宋体" w:hAnsi="宋体" w:eastAsia="宋体" w:cs="黑体"/>
          <w:color w:val="auto"/>
          <w:sz w:val="24"/>
          <w:szCs w:val="24"/>
        </w:rPr>
      </w:pPr>
      <w:r>
        <w:rPr>
          <w:rFonts w:hint="eastAsia" w:ascii="宋体" w:hAnsi="宋体" w:eastAsia="宋体" w:cs="黑体"/>
          <w:color w:val="auto"/>
          <w:sz w:val="24"/>
          <w:szCs w:val="24"/>
        </w:rPr>
        <w:t>（2）交货、安装地点：成交供应商应按照采购单位的要求，将货物送达指定地点，安装、调试完毕，并确保正常使用。</w:t>
      </w:r>
    </w:p>
    <w:p w14:paraId="138474C4">
      <w:pPr>
        <w:spacing w:line="440" w:lineRule="exact"/>
        <w:ind w:firstLine="480" w:firstLineChars="200"/>
        <w:jc w:val="left"/>
        <w:rPr>
          <w:rFonts w:hint="eastAsia" w:ascii="宋体" w:hAnsi="宋体" w:eastAsia="宋体" w:cs="黑体"/>
          <w:color w:val="auto"/>
          <w:sz w:val="24"/>
          <w:szCs w:val="24"/>
        </w:rPr>
      </w:pPr>
      <w:r>
        <w:rPr>
          <w:rFonts w:hint="eastAsia" w:ascii="宋体" w:hAnsi="宋体" w:eastAsia="宋体" w:cs="黑体"/>
          <w:color w:val="auto"/>
          <w:sz w:val="24"/>
          <w:szCs w:val="24"/>
        </w:rPr>
        <w:t>（3）质保期：自竣工验收合格之日起两年。在质保期内，成交供应商应免费维修。在免费质保期内，接到用户单位电话通知后，将在4小时之内上门服务，并在24小时内负责修复。如需更换货物或送修，必须在48小时内提供备用货物，并在3个工作日内负责维修完毕。</w:t>
      </w:r>
    </w:p>
    <w:p w14:paraId="604DC907">
      <w:pPr>
        <w:spacing w:line="440" w:lineRule="exact"/>
        <w:ind w:firstLine="482" w:firstLineChars="200"/>
        <w:jc w:val="left"/>
        <w:rPr>
          <w:rFonts w:ascii="宋体" w:hAnsi="宋体" w:cs="黑体"/>
          <w:b/>
          <w:bCs/>
          <w:color w:val="auto"/>
          <w:sz w:val="24"/>
          <w:szCs w:val="24"/>
        </w:rPr>
      </w:pPr>
      <w:r>
        <w:rPr>
          <w:rFonts w:hint="eastAsia" w:ascii="宋体" w:hAnsi="宋体" w:cs="黑体"/>
          <w:b/>
          <w:bCs/>
          <w:color w:val="auto"/>
          <w:sz w:val="24"/>
          <w:szCs w:val="24"/>
        </w:rPr>
        <w:t>（</w:t>
      </w:r>
      <w:r>
        <w:rPr>
          <w:rFonts w:hint="eastAsia" w:ascii="宋体" w:hAnsi="宋体" w:cs="黑体"/>
          <w:b/>
          <w:bCs/>
          <w:color w:val="auto"/>
          <w:sz w:val="24"/>
          <w:szCs w:val="24"/>
          <w:lang w:val="en-US" w:eastAsia="zh-CN"/>
        </w:rPr>
        <w:t>五</w:t>
      </w:r>
      <w:r>
        <w:rPr>
          <w:rFonts w:hint="eastAsia" w:ascii="宋体" w:hAnsi="宋体" w:cs="黑体"/>
          <w:b/>
          <w:bCs/>
          <w:color w:val="auto"/>
          <w:sz w:val="24"/>
          <w:szCs w:val="24"/>
        </w:rPr>
        <w:t>）其他约定事项</w:t>
      </w:r>
    </w:p>
    <w:p w14:paraId="179AD7CF">
      <w:pPr>
        <w:spacing w:line="440" w:lineRule="exact"/>
        <w:ind w:firstLine="480" w:firstLineChars="200"/>
        <w:jc w:val="left"/>
        <w:rPr>
          <w:rFonts w:ascii="宋体" w:hAnsi="宋体" w:cs="黑体"/>
          <w:color w:val="auto"/>
          <w:sz w:val="24"/>
          <w:szCs w:val="24"/>
        </w:rPr>
      </w:pPr>
      <w:r>
        <w:rPr>
          <w:rFonts w:hint="eastAsia" w:ascii="宋体" w:hAnsi="宋体" w:cs="黑体"/>
          <w:color w:val="auto"/>
          <w:sz w:val="24"/>
          <w:szCs w:val="24"/>
        </w:rPr>
        <w:t>1.供应商应充分考虑项目实施过程中的各项安全风险，并采取必要的措施予以保障；若项目实施过程中发生任何安全事故或人身伤害，则均由成交供应商自行承担。</w:t>
      </w:r>
    </w:p>
    <w:p w14:paraId="006B3121">
      <w:pPr>
        <w:spacing w:line="440" w:lineRule="exact"/>
        <w:ind w:firstLine="480" w:firstLineChars="200"/>
        <w:jc w:val="left"/>
        <w:rPr>
          <w:rFonts w:ascii="宋体" w:hAnsi="宋体" w:cs="黑体"/>
          <w:color w:val="auto"/>
          <w:sz w:val="24"/>
          <w:szCs w:val="24"/>
        </w:rPr>
      </w:pPr>
      <w:r>
        <w:rPr>
          <w:rFonts w:hint="eastAsia" w:ascii="宋体" w:hAnsi="宋体" w:cs="黑体"/>
          <w:color w:val="auto"/>
          <w:sz w:val="24"/>
          <w:szCs w:val="24"/>
        </w:rPr>
        <w:t>2.供应商项目组成员在履行工作职责期间（包括上下班途中），发生自身的人身伤害、伤亡以及事故等，均由供应商负责处理并承担经济和道义上的责任，采购人不承担任何责任。供应商与所派遣的人员发生纠纷，均由供应商负责调解与处理，采购人不承担责任。</w:t>
      </w:r>
    </w:p>
    <w:p w14:paraId="5906A198">
      <w:pPr>
        <w:spacing w:line="440" w:lineRule="exact"/>
        <w:ind w:firstLine="482" w:firstLineChars="200"/>
        <w:jc w:val="left"/>
        <w:rPr>
          <w:rFonts w:ascii="宋体" w:hAnsi="宋体" w:cs="黑体"/>
          <w:b/>
          <w:bCs/>
          <w:color w:val="auto"/>
          <w:sz w:val="24"/>
          <w:szCs w:val="24"/>
        </w:rPr>
      </w:pPr>
      <w:r>
        <w:rPr>
          <w:rFonts w:hint="eastAsia" w:ascii="宋体" w:hAnsi="宋体" w:cs="黑体"/>
          <w:b/>
          <w:bCs/>
          <w:color w:val="auto"/>
          <w:sz w:val="24"/>
          <w:szCs w:val="24"/>
          <w:lang w:val="en-US" w:eastAsia="zh-CN"/>
        </w:rPr>
        <w:t>二</w:t>
      </w:r>
      <w:r>
        <w:rPr>
          <w:rFonts w:hint="eastAsia" w:ascii="宋体" w:hAnsi="宋体" w:cs="黑体"/>
          <w:b/>
          <w:bCs/>
          <w:color w:val="auto"/>
          <w:sz w:val="24"/>
          <w:szCs w:val="24"/>
        </w:rPr>
        <w:t>、</w:t>
      </w:r>
      <w:r>
        <w:rPr>
          <w:rFonts w:ascii="宋体" w:hAnsi="宋体" w:cs="黑体"/>
          <w:b/>
          <w:bCs/>
          <w:color w:val="auto"/>
          <w:sz w:val="24"/>
          <w:szCs w:val="24"/>
        </w:rPr>
        <w:t>报价供应商的要求</w:t>
      </w:r>
    </w:p>
    <w:p w14:paraId="4D0FE9BD">
      <w:pPr>
        <w:spacing w:line="440" w:lineRule="exact"/>
        <w:ind w:firstLine="480" w:firstLineChars="200"/>
        <w:jc w:val="left"/>
        <w:rPr>
          <w:rFonts w:ascii="宋体" w:hAnsi="宋体" w:cs="黑体"/>
          <w:color w:val="auto"/>
          <w:sz w:val="24"/>
          <w:szCs w:val="24"/>
        </w:rPr>
      </w:pPr>
      <w:r>
        <w:rPr>
          <w:rFonts w:ascii="宋体" w:hAnsi="宋体" w:cs="黑体"/>
          <w:color w:val="auto"/>
          <w:sz w:val="24"/>
          <w:szCs w:val="24"/>
        </w:rPr>
        <w:t>1</w:t>
      </w:r>
      <w:r>
        <w:rPr>
          <w:rFonts w:hint="eastAsia" w:ascii="宋体" w:hAnsi="宋体" w:cs="黑体"/>
          <w:color w:val="auto"/>
          <w:sz w:val="24"/>
          <w:szCs w:val="24"/>
        </w:rPr>
        <w:t>.</w:t>
      </w:r>
      <w:r>
        <w:rPr>
          <w:rFonts w:ascii="宋体" w:hAnsi="宋体" w:cs="黑体"/>
          <w:color w:val="auto"/>
          <w:sz w:val="24"/>
          <w:szCs w:val="24"/>
        </w:rPr>
        <w:t>符合《中华人民共和国政府采购法》第二十二条的规定；</w:t>
      </w:r>
    </w:p>
    <w:p w14:paraId="7E01FF10">
      <w:pPr>
        <w:spacing w:line="440" w:lineRule="exact"/>
        <w:ind w:firstLine="480" w:firstLineChars="200"/>
        <w:jc w:val="left"/>
        <w:rPr>
          <w:rFonts w:ascii="宋体" w:hAnsi="宋体" w:cs="黑体"/>
          <w:color w:val="auto"/>
          <w:sz w:val="24"/>
          <w:szCs w:val="24"/>
        </w:rPr>
      </w:pPr>
      <w:r>
        <w:rPr>
          <w:rFonts w:ascii="宋体" w:hAnsi="宋体" w:cs="黑体"/>
          <w:color w:val="auto"/>
          <w:sz w:val="24"/>
          <w:szCs w:val="24"/>
        </w:rPr>
        <w:t>2</w:t>
      </w:r>
      <w:r>
        <w:rPr>
          <w:rFonts w:hint="eastAsia" w:ascii="宋体" w:hAnsi="宋体" w:cs="黑体"/>
          <w:color w:val="auto"/>
          <w:sz w:val="24"/>
          <w:szCs w:val="24"/>
        </w:rPr>
        <w:t>.</w:t>
      </w:r>
      <w:r>
        <w:rPr>
          <w:rFonts w:ascii="宋体" w:hAnsi="宋体" w:cs="黑体"/>
          <w:color w:val="auto"/>
          <w:sz w:val="24"/>
          <w:szCs w:val="24"/>
        </w:rPr>
        <w:t>未被“信用中国”网站（www.creditchina.gov.cn）列入失信被执行人、重大税收违法案件当事人名单、政府采购严重失信行为记录名单；</w:t>
      </w:r>
    </w:p>
    <w:p w14:paraId="61F709F4">
      <w:pPr>
        <w:spacing w:line="440" w:lineRule="exact"/>
        <w:ind w:firstLine="480" w:firstLineChars="200"/>
        <w:jc w:val="left"/>
        <w:rPr>
          <w:rFonts w:ascii="宋体" w:hAnsi="宋体" w:cs="黑体"/>
          <w:color w:val="auto"/>
          <w:sz w:val="24"/>
          <w:szCs w:val="24"/>
        </w:rPr>
      </w:pPr>
      <w:r>
        <w:rPr>
          <w:rFonts w:ascii="宋体" w:hAnsi="宋体" w:cs="黑体"/>
          <w:color w:val="auto"/>
          <w:sz w:val="24"/>
          <w:szCs w:val="24"/>
        </w:rPr>
        <w:t>3</w:t>
      </w:r>
      <w:r>
        <w:rPr>
          <w:rFonts w:hint="eastAsia" w:ascii="宋体" w:hAnsi="宋体" w:cs="黑体"/>
          <w:color w:val="auto"/>
          <w:sz w:val="24"/>
          <w:szCs w:val="24"/>
        </w:rPr>
        <w:t>.</w:t>
      </w:r>
      <w:r>
        <w:rPr>
          <w:rFonts w:ascii="宋体" w:hAnsi="宋体" w:cs="黑体"/>
          <w:color w:val="auto"/>
          <w:sz w:val="24"/>
          <w:szCs w:val="24"/>
        </w:rPr>
        <w:t>报价供应商具有有效的营业执照</w:t>
      </w:r>
      <w:r>
        <w:rPr>
          <w:rFonts w:hint="eastAsia" w:ascii="宋体" w:hAnsi="宋体" w:cs="黑体"/>
          <w:color w:val="auto"/>
          <w:sz w:val="24"/>
          <w:szCs w:val="24"/>
        </w:rPr>
        <w:t>。</w:t>
      </w:r>
    </w:p>
    <w:p w14:paraId="08475F6C">
      <w:pPr>
        <w:spacing w:line="440" w:lineRule="exact"/>
        <w:ind w:firstLine="482" w:firstLineChars="200"/>
        <w:jc w:val="left"/>
        <w:rPr>
          <w:rFonts w:ascii="宋体" w:hAnsi="宋体" w:cs="黑体"/>
          <w:b/>
          <w:bCs/>
          <w:color w:val="auto"/>
          <w:sz w:val="24"/>
          <w:szCs w:val="24"/>
        </w:rPr>
      </w:pPr>
      <w:r>
        <w:rPr>
          <w:rFonts w:hint="eastAsia" w:ascii="宋体" w:hAnsi="宋体" w:cs="黑体"/>
          <w:b/>
          <w:bCs/>
          <w:color w:val="auto"/>
          <w:sz w:val="24"/>
          <w:szCs w:val="24"/>
          <w:lang w:val="en-US" w:eastAsia="zh-CN"/>
        </w:rPr>
        <w:t>三</w:t>
      </w:r>
      <w:r>
        <w:rPr>
          <w:rFonts w:hint="eastAsia" w:ascii="宋体" w:hAnsi="宋体" w:cs="黑体"/>
          <w:b/>
          <w:bCs/>
          <w:color w:val="auto"/>
          <w:sz w:val="24"/>
          <w:szCs w:val="24"/>
        </w:rPr>
        <w:t>、报价要求</w:t>
      </w:r>
    </w:p>
    <w:p w14:paraId="39FB50C1">
      <w:pPr>
        <w:spacing w:line="440" w:lineRule="exact"/>
        <w:ind w:firstLine="480" w:firstLineChars="200"/>
        <w:jc w:val="left"/>
        <w:rPr>
          <w:rFonts w:hint="eastAsia" w:ascii="宋体" w:hAnsi="宋体" w:cs="黑体"/>
          <w:color w:val="auto"/>
          <w:sz w:val="24"/>
          <w:szCs w:val="24"/>
        </w:rPr>
      </w:pPr>
      <w:r>
        <w:rPr>
          <w:rFonts w:hint="eastAsia" w:ascii="宋体" w:hAnsi="宋体" w:cs="黑体"/>
          <w:color w:val="auto"/>
          <w:sz w:val="24"/>
          <w:szCs w:val="24"/>
        </w:rPr>
        <w:t>1..本项目采用固定</w:t>
      </w:r>
      <w:r>
        <w:rPr>
          <w:rFonts w:hint="eastAsia" w:ascii="宋体" w:hAnsi="宋体" w:cs="黑体"/>
          <w:color w:val="auto"/>
          <w:sz w:val="24"/>
          <w:szCs w:val="24"/>
          <w:lang w:val="en-US" w:eastAsia="zh-CN"/>
        </w:rPr>
        <w:t>单价</w:t>
      </w:r>
      <w:r>
        <w:rPr>
          <w:rFonts w:hint="eastAsia" w:ascii="宋体" w:hAnsi="宋体" w:cs="黑体"/>
          <w:color w:val="auto"/>
          <w:sz w:val="24"/>
          <w:szCs w:val="24"/>
        </w:rPr>
        <w:t>报价，报价应包括</w:t>
      </w:r>
      <w:r>
        <w:rPr>
          <w:rFonts w:hint="eastAsia" w:ascii="宋体" w:hAnsi="宋体" w:cs="黑体"/>
          <w:color w:val="auto"/>
          <w:sz w:val="24"/>
          <w:szCs w:val="24"/>
          <w:lang w:val="en-US" w:eastAsia="zh-CN"/>
        </w:rPr>
        <w:t>但不限于耗材、工具、通讯、服装、办公设备、各种税费、保险、加班费、福利、利润、工商税金、工资、交通、培训、咨询费、政策性文件规定及合同包含的所有风险、责任等，安装调试费、运维费（仪器的所有耗材及备件定期更换费用等）、装卸费、运输费、人工费、移除障碍物（例如：移除树木、路灯杆、监控设施、原垃圾分类亭等）涉及的费用</w:t>
      </w:r>
      <w:r>
        <w:rPr>
          <w:rFonts w:hint="eastAsia" w:ascii="宋体" w:hAnsi="宋体" w:cs="黑体"/>
          <w:color w:val="auto"/>
          <w:sz w:val="24"/>
          <w:szCs w:val="24"/>
        </w:rPr>
        <w:t>。</w:t>
      </w:r>
    </w:p>
    <w:p w14:paraId="175AE86F">
      <w:pPr>
        <w:spacing w:line="440" w:lineRule="exact"/>
        <w:ind w:firstLine="480" w:firstLineChars="200"/>
        <w:jc w:val="left"/>
        <w:rPr>
          <w:rFonts w:ascii="宋体" w:hAnsi="宋体" w:cs="黑体"/>
          <w:color w:val="auto"/>
          <w:sz w:val="24"/>
          <w:szCs w:val="24"/>
        </w:rPr>
      </w:pPr>
      <w:r>
        <w:rPr>
          <w:rFonts w:hint="eastAsia" w:ascii="宋体" w:hAnsi="宋体" w:cs="黑体"/>
          <w:color w:val="auto"/>
          <w:sz w:val="24"/>
          <w:szCs w:val="24"/>
          <w:lang w:val="en-US" w:eastAsia="zh-CN"/>
        </w:rPr>
        <w:t>2</w:t>
      </w:r>
      <w:r>
        <w:rPr>
          <w:rFonts w:hint="eastAsia" w:ascii="宋体" w:hAnsi="宋体" w:cs="黑体"/>
          <w:color w:val="auto"/>
          <w:sz w:val="24"/>
          <w:szCs w:val="24"/>
        </w:rPr>
        <w:t>.</w:t>
      </w:r>
      <w:r>
        <w:rPr>
          <w:rFonts w:ascii="宋体" w:hAnsi="宋体" w:cs="黑体"/>
          <w:color w:val="auto"/>
          <w:sz w:val="24"/>
          <w:szCs w:val="24"/>
        </w:rPr>
        <w:t>供应商在报价时应考虑各种风险因素，相关风险因素费用包含在报价</w:t>
      </w:r>
      <w:r>
        <w:rPr>
          <w:rFonts w:hint="eastAsia" w:ascii="宋体" w:hAnsi="宋体" w:cs="黑体"/>
          <w:color w:val="auto"/>
          <w:sz w:val="24"/>
          <w:szCs w:val="24"/>
          <w:lang w:val="en-US" w:eastAsia="zh-CN"/>
        </w:rPr>
        <w:t>单</w:t>
      </w:r>
      <w:r>
        <w:rPr>
          <w:rFonts w:ascii="宋体" w:hAnsi="宋体" w:cs="黑体"/>
          <w:color w:val="auto"/>
          <w:sz w:val="24"/>
          <w:szCs w:val="24"/>
        </w:rPr>
        <w:t>价中。风险因素包括遇重大活动、检查、突发情况、最低工资调整、物价调整、税费调整等。合同</w:t>
      </w:r>
      <w:r>
        <w:rPr>
          <w:rFonts w:hint="eastAsia" w:ascii="宋体" w:hAnsi="宋体" w:cs="黑体"/>
          <w:color w:val="auto"/>
          <w:sz w:val="24"/>
          <w:szCs w:val="24"/>
          <w:lang w:val="en-US" w:eastAsia="zh-CN"/>
        </w:rPr>
        <w:t>单</w:t>
      </w:r>
      <w:r>
        <w:rPr>
          <w:rFonts w:ascii="宋体" w:hAnsi="宋体" w:cs="黑体"/>
          <w:color w:val="auto"/>
          <w:sz w:val="24"/>
          <w:szCs w:val="24"/>
        </w:rPr>
        <w:t>价在合同实施期间不因市场价格波动和各种风险因素的发生而变动。</w:t>
      </w:r>
    </w:p>
    <w:p w14:paraId="2D5B960D">
      <w:pPr>
        <w:spacing w:line="440" w:lineRule="exact"/>
        <w:ind w:firstLine="482" w:firstLineChars="200"/>
        <w:jc w:val="left"/>
        <w:rPr>
          <w:rFonts w:ascii="宋体" w:hAnsi="宋体" w:cs="黑体"/>
          <w:b/>
          <w:bCs/>
          <w:color w:val="auto"/>
          <w:sz w:val="24"/>
          <w:szCs w:val="24"/>
        </w:rPr>
      </w:pPr>
      <w:r>
        <w:rPr>
          <w:rFonts w:hint="eastAsia" w:ascii="宋体" w:hAnsi="宋体" w:cs="黑体"/>
          <w:b/>
          <w:bCs/>
          <w:color w:val="auto"/>
          <w:sz w:val="24"/>
          <w:szCs w:val="24"/>
        </w:rPr>
        <w:t>四、约定事项</w:t>
      </w:r>
    </w:p>
    <w:p w14:paraId="1DDAEA28">
      <w:pPr>
        <w:spacing w:line="440" w:lineRule="exact"/>
        <w:ind w:firstLine="480" w:firstLineChars="200"/>
        <w:rPr>
          <w:rFonts w:ascii="宋体" w:hAnsi="宋体"/>
          <w:bCs/>
          <w:color w:val="auto"/>
          <w:sz w:val="24"/>
          <w:szCs w:val="24"/>
        </w:rPr>
      </w:pPr>
      <w:r>
        <w:rPr>
          <w:rFonts w:hint="eastAsia" w:ascii="宋体" w:hAnsi="宋体"/>
          <w:bCs/>
          <w:color w:val="auto"/>
          <w:sz w:val="24"/>
          <w:szCs w:val="24"/>
        </w:rPr>
        <w:t>1.参与报价的单位需将①法人营业执照复印件和②市场询价报价单③或其他相关附件，于</w:t>
      </w:r>
      <w:r>
        <w:rPr>
          <w:rFonts w:hint="eastAsia" w:ascii="宋体" w:hAnsi="宋体"/>
          <w:bCs/>
          <w:color w:val="auto"/>
          <w:sz w:val="24"/>
          <w:szCs w:val="24"/>
        </w:rPr>
        <w:t>2024年0</w:t>
      </w:r>
      <w:r>
        <w:rPr>
          <w:rFonts w:hint="eastAsia" w:ascii="宋体" w:hAnsi="宋体"/>
          <w:bCs/>
          <w:color w:val="auto"/>
          <w:sz w:val="24"/>
          <w:szCs w:val="24"/>
          <w:lang w:val="en-US" w:eastAsia="zh-CN"/>
        </w:rPr>
        <w:t>6</w:t>
      </w:r>
      <w:r>
        <w:rPr>
          <w:rFonts w:hint="eastAsia" w:ascii="宋体" w:hAnsi="宋体"/>
          <w:bCs/>
          <w:color w:val="auto"/>
          <w:sz w:val="24"/>
          <w:szCs w:val="24"/>
        </w:rPr>
        <w:t>月</w:t>
      </w:r>
      <w:r>
        <w:rPr>
          <w:rFonts w:hint="eastAsia" w:ascii="宋体" w:hAnsi="宋体"/>
          <w:bCs/>
          <w:color w:val="auto"/>
          <w:sz w:val="24"/>
          <w:szCs w:val="24"/>
          <w:lang w:val="en-US" w:eastAsia="zh-CN"/>
        </w:rPr>
        <w:t>27</w:t>
      </w:r>
      <w:r>
        <w:rPr>
          <w:rFonts w:hint="eastAsia" w:ascii="宋体" w:hAnsi="宋体"/>
          <w:bCs/>
          <w:color w:val="auto"/>
          <w:sz w:val="24"/>
          <w:szCs w:val="24"/>
        </w:rPr>
        <w:t>日17:00前</w:t>
      </w:r>
      <w:r>
        <w:rPr>
          <w:rFonts w:hint="eastAsia" w:ascii="宋体" w:hAnsi="宋体"/>
          <w:bCs/>
          <w:color w:val="auto"/>
          <w:sz w:val="24"/>
          <w:szCs w:val="24"/>
        </w:rPr>
        <w:t>，送或寄（以邮戳为准）至启东市汇龙镇人民中路972号明天商务广场302室，联系人：</w:t>
      </w:r>
      <w:r>
        <w:rPr>
          <w:rFonts w:hint="eastAsia" w:ascii="宋体" w:hAnsi="宋体"/>
          <w:bCs/>
          <w:color w:val="auto"/>
          <w:sz w:val="24"/>
          <w:szCs w:val="24"/>
          <w:lang w:val="en-US" w:eastAsia="zh-CN"/>
        </w:rPr>
        <w:t>倪</w:t>
      </w:r>
      <w:r>
        <w:rPr>
          <w:rFonts w:hint="eastAsia" w:ascii="宋体" w:hAnsi="宋体"/>
          <w:bCs/>
          <w:color w:val="auto"/>
          <w:sz w:val="24"/>
          <w:szCs w:val="24"/>
        </w:rPr>
        <w:t>女士，联系电话：189</w:t>
      </w:r>
      <w:r>
        <w:rPr>
          <w:rFonts w:hint="eastAsia" w:ascii="宋体" w:hAnsi="宋体"/>
          <w:bCs/>
          <w:color w:val="auto"/>
          <w:sz w:val="24"/>
          <w:szCs w:val="24"/>
          <w:lang w:val="en-US" w:eastAsia="zh-CN"/>
        </w:rPr>
        <w:t>94297769</w:t>
      </w:r>
      <w:r>
        <w:rPr>
          <w:rFonts w:hint="eastAsia" w:ascii="宋体" w:hAnsi="宋体"/>
          <w:bCs/>
          <w:color w:val="auto"/>
          <w:sz w:val="24"/>
          <w:szCs w:val="24"/>
        </w:rPr>
        <w:t>。或发送电子扫描件至18901481738@163.com邮箱；</w:t>
      </w:r>
    </w:p>
    <w:p w14:paraId="7538E942">
      <w:pPr>
        <w:spacing w:line="440" w:lineRule="exact"/>
        <w:ind w:firstLine="480" w:firstLineChars="200"/>
        <w:jc w:val="left"/>
        <w:rPr>
          <w:rFonts w:hint="eastAsia" w:ascii="宋体" w:hAnsi="宋体" w:cs="黑体"/>
          <w:color w:val="auto"/>
          <w:sz w:val="24"/>
          <w:szCs w:val="24"/>
        </w:rPr>
      </w:pPr>
      <w:r>
        <w:rPr>
          <w:rFonts w:hint="eastAsia" w:ascii="宋体" w:hAnsi="宋体" w:cs="黑体"/>
          <w:color w:val="auto"/>
          <w:sz w:val="24"/>
          <w:szCs w:val="24"/>
        </w:rPr>
        <w:t>2.所有报价材料必须加盖报价单位公章；</w:t>
      </w:r>
    </w:p>
    <w:p w14:paraId="1A0927A2">
      <w:pPr>
        <w:spacing w:line="440" w:lineRule="exact"/>
        <w:ind w:firstLine="480" w:firstLineChars="200"/>
        <w:jc w:val="left"/>
        <w:rPr>
          <w:rFonts w:hint="eastAsia" w:ascii="宋体" w:hAnsi="宋体" w:cs="黑体"/>
          <w:color w:val="auto"/>
          <w:sz w:val="24"/>
          <w:szCs w:val="24"/>
        </w:rPr>
      </w:pPr>
      <w:r>
        <w:rPr>
          <w:rFonts w:hint="eastAsia" w:ascii="宋体" w:hAnsi="宋体" w:cs="黑体"/>
          <w:color w:val="auto"/>
          <w:sz w:val="24"/>
          <w:szCs w:val="24"/>
        </w:rPr>
        <w:t>3.采购资金的支付时间、条件：</w:t>
      </w:r>
    </w:p>
    <w:p w14:paraId="3A2FE1C2">
      <w:pPr>
        <w:spacing w:line="440" w:lineRule="exact"/>
        <w:ind w:firstLine="480" w:firstLineChars="200"/>
        <w:jc w:val="left"/>
        <w:rPr>
          <w:rFonts w:hint="eastAsia" w:ascii="宋体" w:hAnsi="宋体" w:cs="黑体"/>
          <w:color w:val="auto"/>
          <w:sz w:val="24"/>
          <w:szCs w:val="24"/>
        </w:rPr>
      </w:pPr>
      <w:r>
        <w:rPr>
          <w:rFonts w:hint="eastAsia" w:ascii="宋体" w:hAnsi="宋体" w:cs="黑体"/>
          <w:color w:val="auto"/>
          <w:sz w:val="24"/>
          <w:szCs w:val="24"/>
          <w:lang w:val="en-US" w:eastAsia="zh-CN"/>
        </w:rPr>
        <w:t>签订合同后，经采购人验收合格后支付相关费用，付款金额计算公式=中标单价*实际采购安装面积*90%；余款10%待质保期（两年）满后一次性付清</w:t>
      </w:r>
      <w:r>
        <w:rPr>
          <w:rFonts w:hint="eastAsia" w:ascii="宋体" w:hAnsi="宋体" w:cs="黑体"/>
          <w:color w:val="auto"/>
          <w:sz w:val="24"/>
          <w:szCs w:val="24"/>
        </w:rPr>
        <w:t>。</w:t>
      </w:r>
    </w:p>
    <w:p w14:paraId="2C8DACF0">
      <w:pPr>
        <w:spacing w:line="440" w:lineRule="exact"/>
        <w:ind w:firstLine="480" w:firstLineChars="200"/>
        <w:jc w:val="left"/>
        <w:rPr>
          <w:rFonts w:ascii="宋体" w:hAnsi="宋体"/>
          <w:bCs/>
          <w:color w:val="auto"/>
          <w:sz w:val="24"/>
          <w:szCs w:val="24"/>
        </w:rPr>
      </w:pPr>
      <w:r>
        <w:rPr>
          <w:rFonts w:hint="eastAsia" w:ascii="宋体" w:hAnsi="宋体" w:cs="黑体"/>
          <w:color w:val="auto"/>
          <w:sz w:val="24"/>
          <w:szCs w:val="24"/>
        </w:rPr>
        <w:t>4.其他：（1）请报价单位认真核算、如实报价，如发现虚假报价的，该单位今后将被列入采购单位黑名单；（2）本次报价仅作为市场调研用，因此价格仅供参考；（3）本次调研询价不接收</w:t>
      </w:r>
      <w:r>
        <w:rPr>
          <w:rFonts w:hint="eastAsia" w:ascii="宋体" w:hAnsi="宋体"/>
          <w:bCs/>
          <w:color w:val="auto"/>
          <w:sz w:val="24"/>
          <w:szCs w:val="24"/>
        </w:rPr>
        <w:t>质疑函，只接收对本项目的建议。</w:t>
      </w:r>
    </w:p>
    <w:p w14:paraId="4F0DAD67">
      <w:pPr>
        <w:spacing w:line="400" w:lineRule="exact"/>
        <w:ind w:firstLine="480" w:firstLineChars="200"/>
        <w:rPr>
          <w:rFonts w:ascii="宋体" w:hAnsi="宋体"/>
          <w:bCs/>
          <w:color w:val="auto"/>
          <w:sz w:val="24"/>
          <w:szCs w:val="24"/>
        </w:rPr>
      </w:pPr>
    </w:p>
    <w:p w14:paraId="08BD9BC2">
      <w:pPr>
        <w:pStyle w:val="2"/>
        <w:rPr>
          <w:rFonts w:ascii="宋体" w:hAnsi="宋体"/>
          <w:bCs/>
          <w:color w:val="auto"/>
          <w:sz w:val="24"/>
          <w:szCs w:val="24"/>
        </w:rPr>
      </w:pPr>
    </w:p>
    <w:p w14:paraId="48D00117">
      <w:pPr>
        <w:rPr>
          <w:color w:val="auto"/>
          <w:sz w:val="24"/>
          <w:szCs w:val="24"/>
        </w:rPr>
      </w:pPr>
    </w:p>
    <w:p w14:paraId="1E09D024">
      <w:pPr>
        <w:spacing w:line="440" w:lineRule="exact"/>
        <w:jc w:val="righ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启东市汇龙镇人民政府</w:t>
      </w:r>
    </w:p>
    <w:p w14:paraId="48C8A52C">
      <w:pPr>
        <w:spacing w:line="440" w:lineRule="exact"/>
        <w:jc w:val="right"/>
        <w:rPr>
          <w:rFonts w:ascii="Times New Roman" w:hAnsi="Times New Roman" w:eastAsia="方正仿宋_GB2312"/>
          <w:color w:val="auto"/>
          <w:sz w:val="32"/>
          <w:szCs w:val="32"/>
        </w:rPr>
        <w:sectPr>
          <w:footerReference r:id="rId3" w:type="default"/>
          <w:pgSz w:w="11906" w:h="16838"/>
          <w:pgMar w:top="1020" w:right="1800" w:bottom="1440" w:left="1800" w:header="851" w:footer="992" w:gutter="0"/>
          <w:pgNumType w:start="1"/>
          <w:cols w:space="720" w:num="1"/>
          <w:docGrid w:type="lines" w:linePitch="312" w:charSpace="0"/>
        </w:sectPr>
      </w:pPr>
      <w:r>
        <w:rPr>
          <w:rFonts w:hint="eastAsia" w:ascii="宋体" w:hAnsi="宋体" w:cs="宋体"/>
          <w:color w:val="auto"/>
          <w:sz w:val="24"/>
          <w:szCs w:val="24"/>
        </w:rPr>
        <w:t>2024年0</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cs="宋体"/>
          <w:color w:val="auto"/>
          <w:sz w:val="24"/>
          <w:szCs w:val="24"/>
        </w:rPr>
        <w:t>日</w:t>
      </w:r>
    </w:p>
    <w:p w14:paraId="5D5DCAE1">
      <w:pPr>
        <w:jc w:val="both"/>
        <w:rPr>
          <w:rFonts w:hint="eastAsia" w:ascii="宋体" w:hAnsi="宋体" w:cs="宋体"/>
          <w:b/>
          <w:color w:val="auto"/>
          <w:sz w:val="28"/>
          <w:szCs w:val="28"/>
        </w:rPr>
      </w:pPr>
      <w:r>
        <w:rPr>
          <w:rFonts w:hint="eastAsia" w:ascii="宋体" w:hAnsi="宋体" w:cs="宋体"/>
          <w:b/>
          <w:color w:val="auto"/>
          <w:sz w:val="28"/>
          <w:szCs w:val="28"/>
        </w:rPr>
        <w:t>附件：</w:t>
      </w:r>
    </w:p>
    <w:p w14:paraId="10347425">
      <w:pPr>
        <w:jc w:val="center"/>
        <w:rPr>
          <w:rFonts w:hint="eastAsia" w:ascii="宋体" w:hAnsi="宋体" w:eastAsia="宋体"/>
          <w:b/>
          <w:bCs/>
          <w:color w:val="auto"/>
          <w:sz w:val="32"/>
          <w:szCs w:val="32"/>
          <w:lang w:val="en-US" w:eastAsia="zh-CN"/>
        </w:rPr>
      </w:pPr>
      <w:r>
        <w:rPr>
          <w:rFonts w:hint="eastAsia" w:ascii="宋体" w:hAnsi="宋体" w:eastAsia="宋体"/>
          <w:b/>
          <w:bCs/>
          <w:color w:val="auto"/>
          <w:sz w:val="32"/>
          <w:szCs w:val="32"/>
          <w:lang w:val="en-US" w:eastAsia="zh-CN"/>
        </w:rPr>
        <w:t>2024年启东市汇龙镇代管小区分类垃圾房采购建设项目</w:t>
      </w:r>
    </w:p>
    <w:p w14:paraId="523B41D9">
      <w:pPr>
        <w:jc w:val="center"/>
        <w:rPr>
          <w:rFonts w:hint="eastAsia" w:ascii="宋体" w:hAnsi="宋体" w:eastAsia="宋体"/>
          <w:b/>
          <w:bCs/>
          <w:color w:val="auto"/>
          <w:sz w:val="32"/>
          <w:szCs w:val="32"/>
          <w:lang w:val="en-US" w:eastAsia="zh-CN"/>
        </w:rPr>
      </w:pPr>
      <w:r>
        <w:rPr>
          <w:rFonts w:hint="eastAsia" w:ascii="宋体" w:hAnsi="宋体" w:eastAsia="宋体"/>
          <w:b/>
          <w:bCs/>
          <w:color w:val="auto"/>
          <w:sz w:val="32"/>
          <w:szCs w:val="32"/>
          <w:lang w:val="en-US" w:eastAsia="zh-CN"/>
        </w:rPr>
        <w:t>市场询价报价单</w:t>
      </w:r>
    </w:p>
    <w:p w14:paraId="655505F7">
      <w:pPr>
        <w:pStyle w:val="31"/>
        <w:rPr>
          <w:rFonts w:hint="eastAsia"/>
          <w:color w:val="auto"/>
          <w:lang w:val="en-US" w:eastAsia="zh-CN"/>
        </w:rPr>
      </w:pPr>
    </w:p>
    <w:tbl>
      <w:tblPr>
        <w:tblStyle w:val="10"/>
        <w:tblW w:w="4998"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9"/>
        <w:gridCol w:w="7001"/>
      </w:tblGrid>
      <w:tr w14:paraId="06C89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vAlign w:val="top"/>
          </w:tcPr>
          <w:p w14:paraId="1A896962">
            <w:pPr>
              <w:jc w:val="center"/>
              <w:rPr>
                <w:rFonts w:hint="eastAsia" w:ascii="宋体" w:hAnsi="宋体" w:eastAsia="宋体"/>
                <w:color w:val="auto"/>
                <w:szCs w:val="22"/>
              </w:rPr>
            </w:pPr>
          </w:p>
        </w:tc>
        <w:tc>
          <w:tcPr>
            <w:tcW w:w="3553" w:type="dxa"/>
            <w:vAlign w:val="top"/>
          </w:tcPr>
          <w:p w14:paraId="2872EE6B">
            <w:pPr>
              <w:jc w:val="center"/>
              <w:rPr>
                <w:rFonts w:hint="eastAsia" w:ascii="宋体" w:hAnsi="宋体" w:eastAsia="宋体"/>
                <w:b/>
                <w:bCs/>
                <w:color w:val="auto"/>
                <w:kern w:val="0"/>
                <w:sz w:val="28"/>
                <w:szCs w:val="28"/>
              </w:rPr>
            </w:pPr>
            <w:r>
              <w:rPr>
                <w:rFonts w:hint="eastAsia" w:ascii="宋体" w:hAnsi="宋体" w:eastAsia="宋体"/>
                <w:b/>
                <w:bCs/>
                <w:color w:val="auto"/>
                <w:kern w:val="0"/>
                <w:sz w:val="28"/>
                <w:szCs w:val="28"/>
              </w:rPr>
              <w:t>单价</w:t>
            </w:r>
          </w:p>
        </w:tc>
      </w:tr>
      <w:tr w14:paraId="3E754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1446" w:type="dxa"/>
            <w:vAlign w:val="center"/>
          </w:tcPr>
          <w:p w14:paraId="48A41322">
            <w:pPr>
              <w:jc w:val="center"/>
              <w:rPr>
                <w:rFonts w:hint="eastAsia" w:ascii="宋体" w:hAnsi="宋体" w:eastAsia="宋体"/>
                <w:b/>
                <w:bCs/>
                <w:color w:val="auto"/>
                <w:kern w:val="0"/>
                <w:sz w:val="28"/>
                <w:szCs w:val="28"/>
                <w:lang w:val="en-US" w:eastAsia="zh-CN"/>
              </w:rPr>
            </w:pPr>
            <w:r>
              <w:rPr>
                <w:rFonts w:hint="eastAsia" w:ascii="宋体" w:hAnsi="宋体" w:eastAsia="宋体"/>
                <w:b/>
                <w:bCs/>
                <w:color w:val="auto"/>
                <w:kern w:val="0"/>
                <w:sz w:val="28"/>
                <w:szCs w:val="28"/>
                <w:lang w:val="en-US" w:eastAsia="zh-CN"/>
              </w:rPr>
              <w:t>单价</w:t>
            </w:r>
          </w:p>
        </w:tc>
        <w:tc>
          <w:tcPr>
            <w:tcW w:w="3553" w:type="dxa"/>
            <w:vAlign w:val="top"/>
          </w:tcPr>
          <w:p w14:paraId="14E02ACC">
            <w:pPr>
              <w:rPr>
                <w:rFonts w:hint="eastAsia" w:ascii="宋体" w:hAnsi="宋体" w:eastAsia="宋体"/>
                <w:color w:val="auto"/>
                <w:kern w:val="0"/>
                <w:sz w:val="28"/>
                <w:szCs w:val="28"/>
              </w:rPr>
            </w:pPr>
            <w:r>
              <w:rPr>
                <w:rFonts w:hint="eastAsia" w:ascii="宋体" w:hAnsi="宋体" w:eastAsia="宋体"/>
                <w:color w:val="auto"/>
                <w:kern w:val="0"/>
                <w:sz w:val="28"/>
                <w:szCs w:val="28"/>
              </w:rPr>
              <w:t>大写：</w:t>
            </w:r>
            <w:r>
              <w:rPr>
                <w:rFonts w:hint="eastAsia" w:ascii="宋体" w:hAnsi="宋体" w:eastAsia="宋体"/>
                <w:color w:val="auto"/>
                <w:kern w:val="0"/>
                <w:sz w:val="28"/>
                <w:szCs w:val="28"/>
                <w:lang w:val="en-US" w:eastAsia="zh-CN"/>
              </w:rPr>
              <w:t xml:space="preserve">      每平方米</w:t>
            </w:r>
          </w:p>
          <w:p w14:paraId="678B9DFF">
            <w:pPr>
              <w:rPr>
                <w:rFonts w:hint="eastAsia" w:ascii="宋体" w:hAnsi="宋体" w:eastAsia="宋体"/>
                <w:color w:val="auto"/>
                <w:kern w:val="0"/>
                <w:sz w:val="28"/>
                <w:szCs w:val="28"/>
              </w:rPr>
            </w:pPr>
            <w:r>
              <w:rPr>
                <w:rFonts w:hint="eastAsia" w:ascii="宋体" w:hAnsi="宋体" w:eastAsia="宋体"/>
                <w:color w:val="auto"/>
                <w:kern w:val="0"/>
                <w:sz w:val="28"/>
                <w:szCs w:val="28"/>
              </w:rPr>
              <w:t>小写：      元/㎡</w:t>
            </w:r>
          </w:p>
        </w:tc>
      </w:tr>
      <w:tr w14:paraId="73DEC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1446" w:type="dxa"/>
            <w:vAlign w:val="center"/>
          </w:tcPr>
          <w:p w14:paraId="3021D2E2">
            <w:pPr>
              <w:jc w:val="center"/>
              <w:rPr>
                <w:rFonts w:hint="eastAsia" w:ascii="宋体" w:hAnsi="宋体"/>
                <w:b/>
                <w:bCs/>
                <w:color w:val="auto"/>
                <w:kern w:val="0"/>
                <w:sz w:val="28"/>
                <w:szCs w:val="28"/>
                <w:lang w:val="en-US" w:eastAsia="zh-CN"/>
              </w:rPr>
            </w:pPr>
            <w:r>
              <w:rPr>
                <w:rFonts w:hint="eastAsia" w:ascii="宋体" w:hAnsi="宋体"/>
                <w:b/>
                <w:bCs/>
                <w:color w:val="auto"/>
                <w:kern w:val="0"/>
                <w:sz w:val="28"/>
                <w:szCs w:val="28"/>
                <w:lang w:val="en-US" w:eastAsia="zh-CN"/>
              </w:rPr>
              <w:t>备注</w:t>
            </w:r>
          </w:p>
        </w:tc>
        <w:tc>
          <w:tcPr>
            <w:tcW w:w="3553" w:type="dxa"/>
            <w:vAlign w:val="top"/>
          </w:tcPr>
          <w:p w14:paraId="5C6D0526">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olor w:val="auto"/>
                <w:kern w:val="0"/>
                <w:sz w:val="24"/>
                <w:szCs w:val="24"/>
                <w:lang w:val="en-US" w:eastAsia="zh-CN"/>
              </w:rPr>
            </w:pPr>
            <w:r>
              <w:rPr>
                <w:rFonts w:hint="eastAsia" w:ascii="宋体" w:hAnsi="宋体" w:eastAsia="宋体"/>
                <w:color w:val="auto"/>
                <w:kern w:val="0"/>
                <w:sz w:val="24"/>
                <w:szCs w:val="24"/>
                <w:lang w:val="en-US" w:eastAsia="zh-CN"/>
              </w:rPr>
              <w:t>本项目具体要求详见附件，</w:t>
            </w:r>
            <w:r>
              <w:rPr>
                <w:rFonts w:hint="eastAsia" w:ascii="宋体" w:hAnsi="宋体" w:eastAsia="宋体"/>
                <w:color w:val="auto"/>
                <w:kern w:val="0"/>
                <w:sz w:val="24"/>
                <w:szCs w:val="24"/>
              </w:rPr>
              <w:t>合同标的价格为固定</w:t>
            </w:r>
            <w:r>
              <w:rPr>
                <w:rFonts w:hint="eastAsia" w:ascii="宋体" w:hAnsi="宋体" w:eastAsia="宋体"/>
                <w:color w:val="auto"/>
                <w:kern w:val="0"/>
                <w:sz w:val="24"/>
                <w:szCs w:val="24"/>
                <w:lang w:val="en-US" w:eastAsia="zh-CN"/>
              </w:rPr>
              <w:t>单</w:t>
            </w:r>
            <w:r>
              <w:rPr>
                <w:rFonts w:hint="eastAsia" w:ascii="宋体" w:hAnsi="宋体" w:eastAsia="宋体"/>
                <w:color w:val="auto"/>
                <w:kern w:val="0"/>
                <w:sz w:val="24"/>
                <w:szCs w:val="24"/>
              </w:rPr>
              <w:t>价</w:t>
            </w:r>
            <w:r>
              <w:rPr>
                <w:rFonts w:hint="eastAsia" w:ascii="宋体" w:hAnsi="宋体" w:eastAsia="宋体"/>
                <w:color w:val="auto"/>
                <w:kern w:val="0"/>
                <w:sz w:val="24"/>
                <w:szCs w:val="24"/>
                <w:lang w:eastAsia="zh-CN"/>
              </w:rPr>
              <w:t>。</w:t>
            </w:r>
            <w:r>
              <w:rPr>
                <w:rFonts w:hint="eastAsia" w:ascii="宋体" w:hAnsi="宋体" w:eastAsia="宋体"/>
                <w:color w:val="auto"/>
                <w:kern w:val="0"/>
                <w:sz w:val="24"/>
                <w:szCs w:val="24"/>
                <w:lang w:val="en-US" w:eastAsia="zh-CN"/>
              </w:rPr>
              <w:t>合同单价包括但不限于耗材、工具、通讯、服装、办公设备、各种税费、保险、加班费、福利、利润、工商税金、工资、交通、培训、咨询费、政策性文件规定及合同包含的所有风险、责任等，安装调试费、运维费（仪器的所有耗材及备件定期更换费用等）、装卸费、运输费、人工费、移除障碍物（例如：移除树木、路灯杆、监控设施、原垃圾分类亭</w:t>
            </w:r>
            <w:r>
              <w:rPr>
                <w:rFonts w:hint="eastAsia" w:ascii="宋体" w:hAnsi="宋体"/>
                <w:color w:val="auto"/>
                <w:kern w:val="0"/>
                <w:sz w:val="24"/>
                <w:szCs w:val="24"/>
                <w:lang w:val="en-US" w:eastAsia="zh-CN"/>
              </w:rPr>
              <w:t>等</w:t>
            </w:r>
            <w:r>
              <w:rPr>
                <w:rFonts w:hint="eastAsia" w:ascii="宋体" w:hAnsi="宋体" w:eastAsia="宋体"/>
                <w:color w:val="auto"/>
                <w:kern w:val="0"/>
                <w:sz w:val="24"/>
                <w:szCs w:val="24"/>
                <w:lang w:val="en-US" w:eastAsia="zh-CN"/>
              </w:rPr>
              <w:t>）涉及的费用。</w:t>
            </w:r>
          </w:p>
        </w:tc>
      </w:tr>
    </w:tbl>
    <w:p w14:paraId="4A4E4CBB">
      <w:pPr>
        <w:pStyle w:val="31"/>
        <w:rPr>
          <w:color w:val="auto"/>
        </w:rPr>
      </w:pPr>
    </w:p>
    <w:p w14:paraId="2A172CCC">
      <w:pPr>
        <w:jc w:val="both"/>
        <w:rPr>
          <w:rFonts w:hint="eastAsia" w:ascii="宋体" w:hAnsi="宋体" w:eastAsia="宋体"/>
          <w:b/>
          <w:bCs/>
          <w:color w:val="auto"/>
          <w:kern w:val="0"/>
          <w:sz w:val="28"/>
          <w:szCs w:val="28"/>
          <w:lang w:val="en-US" w:eastAsia="zh-CN"/>
        </w:rPr>
      </w:pPr>
      <w:r>
        <w:rPr>
          <w:rFonts w:hint="eastAsia" w:ascii="宋体" w:hAnsi="宋体" w:eastAsia="宋体"/>
          <w:b/>
          <w:bCs/>
          <w:color w:val="auto"/>
          <w:kern w:val="0"/>
          <w:sz w:val="28"/>
          <w:szCs w:val="28"/>
          <w:lang w:val="en-US" w:eastAsia="zh-CN"/>
        </w:rPr>
        <w:t xml:space="preserve">报价单位（盖章）：           </w:t>
      </w:r>
    </w:p>
    <w:p w14:paraId="27716079">
      <w:pPr>
        <w:jc w:val="both"/>
        <w:rPr>
          <w:rFonts w:hint="eastAsia" w:ascii="宋体" w:hAnsi="宋体" w:eastAsia="宋体"/>
          <w:b/>
          <w:bCs/>
          <w:color w:val="auto"/>
          <w:kern w:val="0"/>
          <w:sz w:val="28"/>
          <w:szCs w:val="28"/>
          <w:lang w:val="en-US" w:eastAsia="zh-CN"/>
        </w:rPr>
      </w:pPr>
      <w:r>
        <w:rPr>
          <w:rFonts w:hint="eastAsia" w:ascii="宋体" w:hAnsi="宋体" w:eastAsia="宋体"/>
          <w:b/>
          <w:bCs/>
          <w:color w:val="auto"/>
          <w:kern w:val="0"/>
          <w:sz w:val="28"/>
          <w:szCs w:val="28"/>
          <w:lang w:val="en-US" w:eastAsia="zh-CN"/>
        </w:rPr>
        <w:t xml:space="preserve">联 系 人：        </w:t>
      </w:r>
    </w:p>
    <w:p w14:paraId="54F69DA4">
      <w:pPr>
        <w:jc w:val="both"/>
        <w:rPr>
          <w:rFonts w:hint="eastAsia" w:ascii="宋体" w:hAnsi="宋体" w:eastAsia="宋体"/>
          <w:b/>
          <w:bCs/>
          <w:color w:val="auto"/>
          <w:kern w:val="0"/>
          <w:sz w:val="28"/>
          <w:szCs w:val="28"/>
          <w:lang w:val="en-US" w:eastAsia="zh-CN"/>
        </w:rPr>
      </w:pPr>
      <w:r>
        <w:rPr>
          <w:rFonts w:hint="eastAsia" w:ascii="宋体" w:hAnsi="宋体" w:eastAsia="宋体"/>
          <w:b/>
          <w:bCs/>
          <w:color w:val="auto"/>
          <w:kern w:val="0"/>
          <w:sz w:val="28"/>
          <w:szCs w:val="28"/>
          <w:lang w:val="en-US" w:eastAsia="zh-CN"/>
        </w:rPr>
        <w:t>联系电话：</w:t>
      </w:r>
      <w:r>
        <w:rPr>
          <w:rFonts w:hint="eastAsia" w:ascii="宋体" w:hAnsi="宋体" w:eastAsia="宋体"/>
          <w:b/>
          <w:bCs/>
          <w:color w:val="auto"/>
          <w:kern w:val="0"/>
          <w:sz w:val="28"/>
          <w:szCs w:val="28"/>
          <w:lang w:val="en-US" w:eastAsia="zh-CN"/>
        </w:rPr>
        <w:tab/>
      </w:r>
    </w:p>
    <w:p w14:paraId="4A94D727">
      <w:pPr>
        <w:jc w:val="both"/>
        <w:rPr>
          <w:rFonts w:hint="eastAsia" w:ascii="宋体" w:hAnsi="宋体" w:eastAsia="宋体"/>
          <w:b/>
          <w:bCs/>
          <w:color w:val="auto"/>
          <w:kern w:val="0"/>
          <w:sz w:val="28"/>
          <w:szCs w:val="28"/>
          <w:lang w:val="en-US" w:eastAsia="zh-CN"/>
        </w:rPr>
      </w:pPr>
      <w:r>
        <w:rPr>
          <w:rFonts w:hint="eastAsia" w:ascii="宋体" w:hAnsi="宋体" w:eastAsia="宋体"/>
          <w:b/>
          <w:bCs/>
          <w:color w:val="auto"/>
          <w:kern w:val="0"/>
          <w:sz w:val="28"/>
          <w:szCs w:val="28"/>
          <w:lang w:val="en-US" w:eastAsia="zh-CN"/>
        </w:rPr>
        <w:t>日    期：</w:t>
      </w:r>
    </w:p>
    <w:p w14:paraId="5E9FF7A0">
      <w:pPr>
        <w:spacing w:line="400" w:lineRule="atLeast"/>
        <w:rPr>
          <w:rFonts w:ascii="宋体" w:hAnsi="宋体" w:cs="宋体"/>
          <w:b/>
          <w:color w:val="auto"/>
          <w:sz w:val="28"/>
          <w:szCs w:val="28"/>
        </w:rPr>
      </w:pPr>
    </w:p>
    <w:p w14:paraId="47A65C1F">
      <w:pPr>
        <w:tabs>
          <w:tab w:val="left" w:pos="5281"/>
        </w:tabs>
        <w:spacing w:line="400" w:lineRule="atLeast"/>
        <w:ind w:firstLine="562" w:firstLineChars="200"/>
        <w:jc w:val="left"/>
        <w:rPr>
          <w:color w:val="auto"/>
          <w:sz w:val="24"/>
        </w:rPr>
      </w:pPr>
      <w:r>
        <w:rPr>
          <w:rFonts w:hint="eastAsia" w:ascii="宋体" w:hAnsi="宋体" w:cs="宋体"/>
          <w:b/>
          <w:color w:val="auto"/>
          <w:sz w:val="28"/>
          <w:szCs w:val="28"/>
          <w:lang w:val="en-US" w:eastAsia="zh-CN"/>
        </w:rPr>
        <w:t xml:space="preserve">        </w:t>
      </w:r>
    </w:p>
    <w:bookmarkEnd w:id="0"/>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EA10D9-2A27-4A78-B5FC-0D07D2A304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FCD831AE-7C8C-406A-930E-ECC25E501F2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9E77">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A6EC42D">
                <w:pPr>
                  <w:pStyle w:val="5"/>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FjMDA0OTdjZGNiNDI1OTBlYjZlZjY1YjE2OGQxNTEifQ=="/>
  </w:docVars>
  <w:rsids>
    <w:rsidRoot w:val="006171F6"/>
    <w:rsid w:val="00030438"/>
    <w:rsid w:val="000629E4"/>
    <w:rsid w:val="00110A02"/>
    <w:rsid w:val="0016572E"/>
    <w:rsid w:val="0047349C"/>
    <w:rsid w:val="006171F6"/>
    <w:rsid w:val="00767DBE"/>
    <w:rsid w:val="00783443"/>
    <w:rsid w:val="00A16B94"/>
    <w:rsid w:val="00AB78E4"/>
    <w:rsid w:val="00AC1475"/>
    <w:rsid w:val="00C5710D"/>
    <w:rsid w:val="00E966E8"/>
    <w:rsid w:val="00EB2490"/>
    <w:rsid w:val="04907249"/>
    <w:rsid w:val="05C313AC"/>
    <w:rsid w:val="09936F52"/>
    <w:rsid w:val="0B0C2837"/>
    <w:rsid w:val="0B5C2086"/>
    <w:rsid w:val="0C216E2C"/>
    <w:rsid w:val="14DB29AE"/>
    <w:rsid w:val="15D8055B"/>
    <w:rsid w:val="169A1CB5"/>
    <w:rsid w:val="16E021B0"/>
    <w:rsid w:val="17285513"/>
    <w:rsid w:val="18055854"/>
    <w:rsid w:val="1ED5423B"/>
    <w:rsid w:val="283006CB"/>
    <w:rsid w:val="284321AC"/>
    <w:rsid w:val="28754330"/>
    <w:rsid w:val="299627B0"/>
    <w:rsid w:val="2ACA0963"/>
    <w:rsid w:val="2B2067D5"/>
    <w:rsid w:val="2C651960"/>
    <w:rsid w:val="2CED22F7"/>
    <w:rsid w:val="2E0E6385"/>
    <w:rsid w:val="2E1E4B22"/>
    <w:rsid w:val="34337579"/>
    <w:rsid w:val="34B955A4"/>
    <w:rsid w:val="380A6843"/>
    <w:rsid w:val="3A613F56"/>
    <w:rsid w:val="3B4570FC"/>
    <w:rsid w:val="3D65451B"/>
    <w:rsid w:val="4214006C"/>
    <w:rsid w:val="4518749B"/>
    <w:rsid w:val="45682DFA"/>
    <w:rsid w:val="45992FB4"/>
    <w:rsid w:val="476D46F8"/>
    <w:rsid w:val="478A62D2"/>
    <w:rsid w:val="47D97FDF"/>
    <w:rsid w:val="48CD7E21"/>
    <w:rsid w:val="4A630034"/>
    <w:rsid w:val="4B0C5FD6"/>
    <w:rsid w:val="4B6978CC"/>
    <w:rsid w:val="4C6E52BC"/>
    <w:rsid w:val="4DDB16F6"/>
    <w:rsid w:val="4EF37BD9"/>
    <w:rsid w:val="583B614D"/>
    <w:rsid w:val="58515970"/>
    <w:rsid w:val="5A04064D"/>
    <w:rsid w:val="5E53169C"/>
    <w:rsid w:val="600E23ED"/>
    <w:rsid w:val="61642AD8"/>
    <w:rsid w:val="67D55E24"/>
    <w:rsid w:val="6919046B"/>
    <w:rsid w:val="6AD365B5"/>
    <w:rsid w:val="6B054AC4"/>
    <w:rsid w:val="6CD9503C"/>
    <w:rsid w:val="73833D44"/>
    <w:rsid w:val="74A866A9"/>
    <w:rsid w:val="74D6302D"/>
    <w:rsid w:val="768D4B1F"/>
    <w:rsid w:val="781E71C5"/>
    <w:rsid w:val="794D65C6"/>
    <w:rsid w:val="7BF1074D"/>
    <w:rsid w:val="7C6453C2"/>
    <w:rsid w:val="7C66407D"/>
    <w:rsid w:val="7DA6328A"/>
    <w:rsid w:val="7DE2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rPr>
  </w:style>
  <w:style w:type="paragraph" w:styleId="3">
    <w:name w:val="Body Text Indent"/>
    <w:basedOn w:val="1"/>
    <w:next w:val="4"/>
    <w:unhideWhenUsed/>
    <w:qFormat/>
    <w:uiPriority w:val="99"/>
    <w:pPr>
      <w:spacing w:before="100" w:beforeAutospacing="1" w:after="120"/>
      <w:ind w:left="420" w:leftChars="200"/>
    </w:p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9"/>
    <w:basedOn w:val="1"/>
    <w:next w:val="1"/>
    <w:autoRedefine/>
    <w:qFormat/>
    <w:uiPriority w:val="0"/>
    <w:pPr>
      <w:ind w:left="1600" w:leftChars="1600"/>
    </w:pPr>
    <w:rPr>
      <w:rFonts w:ascii="Times New Roman" w:hAnsi="Times New Roman"/>
    </w:rPr>
  </w:style>
  <w:style w:type="paragraph" w:styleId="8">
    <w:name w:val="Normal (Web)"/>
    <w:basedOn w:val="1"/>
    <w:autoRedefine/>
    <w:qFormat/>
    <w:uiPriority w:val="0"/>
    <w:pPr>
      <w:spacing w:beforeAutospacing="1" w:afterAutospacing="1"/>
      <w:jc w:val="left"/>
    </w:pPr>
    <w:rPr>
      <w:kern w:val="0"/>
      <w:sz w:val="24"/>
    </w:rPr>
  </w:style>
  <w:style w:type="paragraph" w:styleId="9">
    <w:name w:val="Body Text First Indent 2"/>
    <w:basedOn w:val="3"/>
    <w:next w:val="1"/>
    <w:qFormat/>
    <w:uiPriority w:val="99"/>
    <w:pPr>
      <w:adjustRightInd w:val="0"/>
      <w:spacing w:line="312" w:lineRule="atLeast"/>
      <w:ind w:firstLine="210" w:firstLineChars="200"/>
      <w:textAlignment w:val="baseline"/>
    </w:pPr>
    <w:rPr>
      <w:szCs w:val="20"/>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autoRedefine/>
    <w:qFormat/>
    <w:uiPriority w:val="0"/>
    <w:rPr>
      <w:rFonts w:hint="eastAsia" w:ascii="微软雅黑" w:hAnsi="微软雅黑" w:eastAsia="微软雅黑" w:cs="微软雅黑"/>
      <w:color w:val="02396F"/>
      <w:u w:val="single"/>
    </w:rPr>
  </w:style>
  <w:style w:type="character" w:styleId="14">
    <w:name w:val="Hyperlink"/>
    <w:basedOn w:val="12"/>
    <w:autoRedefine/>
    <w:qFormat/>
    <w:uiPriority w:val="0"/>
    <w:rPr>
      <w:rFonts w:hint="eastAsia" w:ascii="微软雅黑" w:hAnsi="微软雅黑" w:eastAsia="微软雅黑" w:cs="微软雅黑"/>
      <w:color w:val="02396F"/>
      <w:u w:val="single"/>
    </w:rPr>
  </w:style>
  <w:style w:type="character" w:customStyle="1" w:styleId="15">
    <w:name w:val="qxdate"/>
    <w:basedOn w:val="12"/>
    <w:autoRedefine/>
    <w:qFormat/>
    <w:uiPriority w:val="0"/>
    <w:rPr>
      <w:color w:val="333333"/>
      <w:sz w:val="18"/>
      <w:szCs w:val="18"/>
    </w:rPr>
  </w:style>
  <w:style w:type="character" w:customStyle="1" w:styleId="16">
    <w:name w:val="displayarti"/>
    <w:basedOn w:val="12"/>
    <w:autoRedefine/>
    <w:qFormat/>
    <w:uiPriority w:val="0"/>
    <w:rPr>
      <w:color w:val="FFFFFF"/>
      <w:shd w:val="clear" w:color="auto" w:fill="A00000"/>
    </w:rPr>
  </w:style>
  <w:style w:type="character" w:customStyle="1" w:styleId="17">
    <w:name w:val="redfilefwwh"/>
    <w:basedOn w:val="12"/>
    <w:autoRedefine/>
    <w:qFormat/>
    <w:uiPriority w:val="0"/>
    <w:rPr>
      <w:color w:val="BA2636"/>
      <w:sz w:val="18"/>
      <w:szCs w:val="18"/>
    </w:rPr>
  </w:style>
  <w:style w:type="character" w:customStyle="1" w:styleId="18">
    <w:name w:val="prev2"/>
    <w:basedOn w:val="12"/>
    <w:autoRedefine/>
    <w:qFormat/>
    <w:uiPriority w:val="0"/>
    <w:rPr>
      <w:color w:val="888888"/>
    </w:rPr>
  </w:style>
  <w:style w:type="character" w:customStyle="1" w:styleId="19">
    <w:name w:val="prev3"/>
    <w:basedOn w:val="12"/>
    <w:autoRedefine/>
    <w:qFormat/>
    <w:uiPriority w:val="0"/>
    <w:rPr>
      <w:rFonts w:ascii="微软雅黑" w:hAnsi="微软雅黑" w:eastAsia="微软雅黑" w:cs="微软雅黑"/>
      <w:sz w:val="21"/>
      <w:szCs w:val="21"/>
    </w:rPr>
  </w:style>
  <w:style w:type="character" w:customStyle="1" w:styleId="20">
    <w:name w:val="next2"/>
    <w:basedOn w:val="12"/>
    <w:autoRedefine/>
    <w:qFormat/>
    <w:uiPriority w:val="0"/>
    <w:rPr>
      <w:color w:val="888888"/>
    </w:rPr>
  </w:style>
  <w:style w:type="character" w:customStyle="1" w:styleId="21">
    <w:name w:val="next3"/>
    <w:basedOn w:val="12"/>
    <w:autoRedefine/>
    <w:qFormat/>
    <w:uiPriority w:val="0"/>
    <w:rPr>
      <w:rFonts w:hint="eastAsia" w:ascii="微软雅黑" w:hAnsi="微软雅黑" w:eastAsia="微软雅黑" w:cs="微软雅黑"/>
      <w:sz w:val="21"/>
      <w:szCs w:val="21"/>
    </w:rPr>
  </w:style>
  <w:style w:type="character" w:customStyle="1" w:styleId="22">
    <w:name w:val="cfdate"/>
    <w:basedOn w:val="12"/>
    <w:autoRedefine/>
    <w:qFormat/>
    <w:uiPriority w:val="0"/>
    <w:rPr>
      <w:color w:val="333333"/>
      <w:sz w:val="18"/>
      <w:szCs w:val="18"/>
    </w:rPr>
  </w:style>
  <w:style w:type="character" w:customStyle="1" w:styleId="23">
    <w:name w:val="redfilenumber"/>
    <w:basedOn w:val="12"/>
    <w:autoRedefine/>
    <w:qFormat/>
    <w:uiPriority w:val="0"/>
    <w:rPr>
      <w:color w:val="BA2636"/>
      <w:sz w:val="18"/>
      <w:szCs w:val="18"/>
    </w:rPr>
  </w:style>
  <w:style w:type="character" w:customStyle="1" w:styleId="24">
    <w:name w:val="gjfg"/>
    <w:basedOn w:val="12"/>
    <w:autoRedefine/>
    <w:qFormat/>
    <w:uiPriority w:val="0"/>
  </w:style>
  <w:style w:type="character" w:customStyle="1" w:styleId="25">
    <w:name w:val="next"/>
    <w:basedOn w:val="12"/>
    <w:autoRedefine/>
    <w:qFormat/>
    <w:uiPriority w:val="0"/>
    <w:rPr>
      <w:rFonts w:ascii="微软雅黑" w:hAnsi="微软雅黑" w:eastAsia="微软雅黑" w:cs="微软雅黑"/>
      <w:sz w:val="21"/>
      <w:szCs w:val="21"/>
    </w:rPr>
  </w:style>
  <w:style w:type="character" w:customStyle="1" w:styleId="26">
    <w:name w:val="next1"/>
    <w:basedOn w:val="12"/>
    <w:autoRedefine/>
    <w:qFormat/>
    <w:uiPriority w:val="0"/>
    <w:rPr>
      <w:color w:val="888888"/>
    </w:rPr>
  </w:style>
  <w:style w:type="character" w:customStyle="1" w:styleId="27">
    <w:name w:val="prev"/>
    <w:basedOn w:val="12"/>
    <w:autoRedefine/>
    <w:qFormat/>
    <w:uiPriority w:val="0"/>
    <w:rPr>
      <w:rFonts w:hint="eastAsia" w:ascii="微软雅黑" w:hAnsi="微软雅黑" w:eastAsia="微软雅黑" w:cs="微软雅黑"/>
      <w:sz w:val="21"/>
      <w:szCs w:val="21"/>
    </w:rPr>
  </w:style>
  <w:style w:type="character" w:customStyle="1" w:styleId="28">
    <w:name w:val="prev1"/>
    <w:basedOn w:val="12"/>
    <w:autoRedefine/>
    <w:qFormat/>
    <w:uiPriority w:val="0"/>
    <w:rPr>
      <w:color w:val="888888"/>
    </w:rPr>
  </w:style>
  <w:style w:type="paragraph" w:styleId="29">
    <w:name w:val="List Paragraph"/>
    <w:basedOn w:val="1"/>
    <w:autoRedefine/>
    <w:unhideWhenUsed/>
    <w:qFormat/>
    <w:uiPriority w:val="34"/>
    <w:pPr>
      <w:widowControl w:val="0"/>
      <w:ind w:firstLine="420" w:firstLineChars="200"/>
    </w:pPr>
    <w:rPr>
      <w:rFonts w:ascii="Calibri" w:hAnsi="Calibri"/>
      <w:kern w:val="2"/>
      <w:szCs w:val="24"/>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正文文本1"/>
    <w:basedOn w:val="1"/>
    <w:qFormat/>
    <w:uiPriority w:val="0"/>
    <w:rPr>
      <w:rFonts w:ascii="仿宋_GB2312" w:eastAsia="仿宋_GB2312"/>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4593</Words>
  <Characters>5209</Characters>
  <Lines>30</Lines>
  <Paragraphs>8</Paragraphs>
  <TotalTime>19</TotalTime>
  <ScaleCrop>false</ScaleCrop>
  <LinksUpToDate>false</LinksUpToDate>
  <CharactersWithSpaces>5267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2022-11-28T02:39:00Z</dcterms:created>
  <dc:creator>12369</dc:creator>
  <cp:lastModifiedBy>快乐的小花花￡*</cp:lastModifiedBy>
  <dcterms:modified xsi:type="dcterms:W3CDTF">2024-06-24T08:53:41Z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1B4F369C156D4E189C23C9C19D6D0251_13</vt:lpwstr>
  </property>
</Properties>
</file>