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300" w:lineRule="auto"/>
        <w:jc w:val="center"/>
        <w:rPr>
          <w:rFonts w:cs="宋体"/>
          <w:b/>
          <w:bCs/>
          <w:color w:val="auto"/>
          <w:sz w:val="44"/>
          <w:szCs w:val="44"/>
        </w:rPr>
      </w:pPr>
    </w:p>
    <w:p>
      <w:pPr>
        <w:pStyle w:val="52"/>
        <w:rPr>
          <w:color w:val="auto"/>
        </w:rPr>
      </w:pPr>
    </w:p>
    <w:p>
      <w:pPr>
        <w:tabs>
          <w:tab w:val="left" w:pos="6300"/>
        </w:tabs>
        <w:snapToGrid w:val="0"/>
        <w:spacing w:line="300" w:lineRule="auto"/>
        <w:jc w:val="center"/>
        <w:rPr>
          <w:rFonts w:hint="eastAsia" w:ascii="宋体" w:eastAsia="宋体"/>
          <w:b/>
          <w:bCs/>
          <w:color w:val="auto"/>
          <w:w w:val="80"/>
          <w:sz w:val="96"/>
          <w:szCs w:val="96"/>
          <w:lang w:eastAsia="zh-CN"/>
        </w:rPr>
      </w:pPr>
      <w:bookmarkStart w:id="0" w:name="_Hlk186528380"/>
      <w:r>
        <w:rPr>
          <w:rFonts w:hint="eastAsia" w:cs="宋体"/>
          <w:b/>
          <w:bCs/>
          <w:color w:val="auto"/>
          <w:sz w:val="44"/>
          <w:szCs w:val="44"/>
          <w:lang w:eastAsia="zh-CN"/>
        </w:rPr>
        <w:t>2025年启东市汇龙镇安全生产技术服务项目</w:t>
      </w:r>
    </w:p>
    <w:p>
      <w:pPr>
        <w:tabs>
          <w:tab w:val="left" w:pos="6300"/>
        </w:tabs>
        <w:snapToGrid w:val="0"/>
        <w:spacing w:line="300" w:lineRule="auto"/>
        <w:jc w:val="center"/>
        <w:rPr>
          <w:rFonts w:cs="宋体"/>
          <w:b/>
          <w:bCs/>
          <w:color w:val="auto"/>
          <w:sz w:val="44"/>
          <w:szCs w:val="44"/>
        </w:rPr>
      </w:pPr>
    </w:p>
    <w:p>
      <w:pPr>
        <w:pStyle w:val="52"/>
        <w:rPr>
          <w:color w:val="auto"/>
        </w:rPr>
      </w:pPr>
    </w:p>
    <w:p>
      <w:pPr>
        <w:tabs>
          <w:tab w:val="left" w:pos="6300"/>
        </w:tabs>
        <w:snapToGrid w:val="0"/>
        <w:spacing w:line="300" w:lineRule="auto"/>
        <w:jc w:val="center"/>
        <w:rPr>
          <w:rFonts w:cs="宋体"/>
          <w:b/>
          <w:bCs/>
          <w:color w:val="auto"/>
          <w:sz w:val="30"/>
          <w:szCs w:val="30"/>
        </w:rPr>
      </w:pPr>
    </w:p>
    <w:p>
      <w:pPr>
        <w:pStyle w:val="52"/>
        <w:rPr>
          <w:color w:val="auto"/>
        </w:rPr>
      </w:pPr>
    </w:p>
    <w:p>
      <w:pPr>
        <w:jc w:val="center"/>
        <w:rPr>
          <w:rFonts w:ascii="宋体" w:hAnsi="宋体" w:cs="宋体"/>
          <w:b/>
          <w:bCs/>
          <w:color w:val="auto"/>
          <w:w w:val="80"/>
          <w:sz w:val="96"/>
          <w:szCs w:val="96"/>
        </w:rPr>
      </w:pPr>
      <w:r>
        <w:rPr>
          <w:rFonts w:hint="eastAsia" w:ascii="宋体" w:hAnsi="宋体" w:cs="宋体"/>
          <w:b/>
          <w:bCs/>
          <w:color w:val="auto"/>
          <w:w w:val="80"/>
          <w:sz w:val="96"/>
          <w:szCs w:val="96"/>
        </w:rPr>
        <w:t>竞争性磋商文件</w:t>
      </w:r>
    </w:p>
    <w:p>
      <w:pPr>
        <w:tabs>
          <w:tab w:val="left" w:pos="6300"/>
        </w:tabs>
        <w:snapToGrid w:val="0"/>
        <w:spacing w:line="300" w:lineRule="auto"/>
        <w:jc w:val="center"/>
        <w:rPr>
          <w:rFonts w:hint="eastAsia" w:eastAsia="宋体" w:cs="宋体"/>
          <w:b/>
          <w:bCs/>
          <w:color w:val="auto"/>
          <w:sz w:val="30"/>
          <w:szCs w:val="30"/>
          <w:lang w:eastAsia="zh-CN"/>
        </w:rPr>
      </w:pPr>
      <w:r>
        <w:rPr>
          <w:rFonts w:hint="eastAsia" w:cs="宋体"/>
          <w:b/>
          <w:bCs/>
          <w:color w:val="auto"/>
          <w:sz w:val="30"/>
          <w:szCs w:val="30"/>
        </w:rPr>
        <w:t>项目编号：</w:t>
      </w:r>
      <w:r>
        <w:rPr>
          <w:rFonts w:hint="eastAsia" w:cs="宋体"/>
          <w:b/>
          <w:bCs/>
          <w:color w:val="auto"/>
          <w:sz w:val="30"/>
          <w:szCs w:val="30"/>
          <w:lang w:eastAsia="zh-CN"/>
        </w:rPr>
        <w:t>DFHX2025066</w:t>
      </w:r>
    </w:p>
    <w:p>
      <w:pPr>
        <w:jc w:val="center"/>
        <w:rPr>
          <w:rFonts w:ascii="宋体" w:hAnsi="宋体"/>
          <w:color w:val="auto"/>
          <w:sz w:val="36"/>
        </w:rPr>
      </w:pPr>
    </w:p>
    <w:p>
      <w:pPr>
        <w:tabs>
          <w:tab w:val="left" w:pos="6300"/>
        </w:tabs>
        <w:snapToGrid w:val="0"/>
        <w:spacing w:line="300" w:lineRule="auto"/>
        <w:rPr>
          <w:rFonts w:ascii="宋体"/>
          <w:b/>
          <w:bCs/>
          <w:color w:val="auto"/>
          <w:w w:val="80"/>
          <w:sz w:val="96"/>
          <w:szCs w:val="96"/>
        </w:rPr>
      </w:pPr>
    </w:p>
    <w:p>
      <w:pPr>
        <w:jc w:val="center"/>
        <w:rPr>
          <w:rFonts w:ascii="宋体"/>
          <w:b/>
          <w:bCs/>
          <w:color w:val="auto"/>
          <w:sz w:val="44"/>
          <w:szCs w:val="44"/>
        </w:rPr>
      </w:pPr>
    </w:p>
    <w:p>
      <w:pPr>
        <w:pStyle w:val="52"/>
        <w:rPr>
          <w:color w:val="auto"/>
        </w:rPr>
      </w:pPr>
    </w:p>
    <w:p>
      <w:pPr>
        <w:pStyle w:val="52"/>
        <w:rPr>
          <w:color w:val="auto"/>
        </w:rPr>
      </w:pPr>
    </w:p>
    <w:p>
      <w:pPr>
        <w:snapToGrid w:val="0"/>
        <w:spacing w:line="360" w:lineRule="auto"/>
        <w:rPr>
          <w:rFonts w:ascii="宋体"/>
          <w:b/>
          <w:bCs/>
          <w:color w:val="auto"/>
          <w:sz w:val="36"/>
          <w:szCs w:val="36"/>
        </w:rPr>
      </w:pPr>
    </w:p>
    <w:p>
      <w:pPr>
        <w:pStyle w:val="52"/>
        <w:rPr>
          <w:color w:val="auto"/>
        </w:rPr>
      </w:pPr>
    </w:p>
    <w:p>
      <w:pPr>
        <w:pStyle w:val="52"/>
        <w:ind w:firstLine="0" w:firstLineChars="0"/>
        <w:rPr>
          <w:color w:val="auto"/>
        </w:rPr>
      </w:pPr>
    </w:p>
    <w:p>
      <w:pPr>
        <w:pStyle w:val="52"/>
        <w:rPr>
          <w:color w:val="auto"/>
        </w:rPr>
      </w:pPr>
    </w:p>
    <w:p>
      <w:pPr>
        <w:pStyle w:val="52"/>
        <w:rPr>
          <w:color w:val="auto"/>
        </w:rPr>
      </w:pPr>
    </w:p>
    <w:p>
      <w:pPr>
        <w:adjustRightInd w:val="0"/>
        <w:snapToGrid w:val="0"/>
        <w:spacing w:line="360" w:lineRule="auto"/>
        <w:ind w:firstLine="1802" w:firstLineChars="600"/>
        <w:rPr>
          <w:rFonts w:hint="eastAsia" w:eastAsia="宋体"/>
          <w:b/>
          <w:bCs/>
          <w:color w:val="auto"/>
          <w:sz w:val="30"/>
          <w:szCs w:val="30"/>
          <w:lang w:eastAsia="zh-CN"/>
        </w:rPr>
      </w:pPr>
      <w:bookmarkStart w:id="1" w:name="_Toc11500279"/>
      <w:bookmarkStart w:id="2" w:name="_Toc94544743"/>
      <w:bookmarkStart w:id="3" w:name="_Toc94585339"/>
      <w:bookmarkStart w:id="4" w:name="_Toc11554638"/>
      <w:bookmarkStart w:id="5" w:name="_Toc11499583"/>
      <w:bookmarkStart w:id="6" w:name="_Toc94544827"/>
      <w:bookmarkStart w:id="7" w:name="_Toc521203417"/>
      <w:bookmarkStart w:id="8" w:name="_Toc12670502"/>
      <w:bookmarkStart w:id="9" w:name="_Toc521201596"/>
      <w:bookmarkStart w:id="10" w:name="_Toc8895738"/>
      <w:r>
        <w:rPr>
          <w:rFonts w:hint="eastAsia" w:ascii="宋体" w:hAnsi="宋体" w:cs="宋体"/>
          <w:b/>
          <w:bCs/>
          <w:color w:val="auto"/>
          <w:sz w:val="30"/>
          <w:szCs w:val="30"/>
        </w:rPr>
        <w:t>采购单位：</w:t>
      </w:r>
      <w:r>
        <w:rPr>
          <w:rFonts w:hint="eastAsia" w:ascii="宋体" w:hAnsi="宋体" w:cs="宋体"/>
          <w:b/>
          <w:bCs/>
          <w:color w:val="auto"/>
          <w:sz w:val="30"/>
          <w:szCs w:val="30"/>
          <w:lang w:eastAsia="zh-CN"/>
        </w:rPr>
        <w:t>启东市汇龙镇人民政府</w:t>
      </w:r>
    </w:p>
    <w:p>
      <w:pPr>
        <w:adjustRightInd w:val="0"/>
        <w:snapToGrid w:val="0"/>
        <w:spacing w:line="360" w:lineRule="auto"/>
        <w:jc w:val="center"/>
        <w:rPr>
          <w:b/>
          <w:bCs/>
          <w:color w:val="auto"/>
          <w:sz w:val="30"/>
          <w:szCs w:val="30"/>
        </w:rPr>
      </w:pPr>
      <w:r>
        <w:rPr>
          <w:rFonts w:hint="eastAsia" w:ascii="宋体" w:hAnsi="宋体" w:cs="宋体"/>
          <w:b/>
          <w:bCs/>
          <w:color w:val="auto"/>
          <w:sz w:val="30"/>
          <w:szCs w:val="30"/>
        </w:rPr>
        <w:t xml:space="preserve">  代理机构：</w:t>
      </w:r>
      <w:r>
        <w:rPr>
          <w:rFonts w:hint="eastAsia" w:cs="宋体"/>
          <w:b/>
          <w:bCs/>
          <w:color w:val="auto"/>
          <w:sz w:val="30"/>
          <w:szCs w:val="30"/>
        </w:rPr>
        <w:t>东方华星建设管理（江苏）有限公司</w:t>
      </w:r>
    </w:p>
    <w:p>
      <w:pPr>
        <w:pStyle w:val="52"/>
        <w:ind w:firstLine="1802" w:firstLineChars="600"/>
        <w:rPr>
          <w:rFonts w:ascii="宋体" w:hAnsi="宋体" w:cs="宋体"/>
          <w:b/>
          <w:bCs/>
          <w:color w:val="auto"/>
          <w:sz w:val="30"/>
          <w:szCs w:val="30"/>
        </w:rPr>
      </w:pPr>
      <w:r>
        <w:rPr>
          <w:rFonts w:hint="eastAsia" w:ascii="宋体" w:hAnsi="宋体" w:cs="宋体"/>
          <w:b/>
          <w:bCs/>
          <w:color w:val="auto"/>
          <w:sz w:val="30"/>
          <w:szCs w:val="30"/>
        </w:rPr>
        <w:t>时    间：2025年</w:t>
      </w:r>
      <w:r>
        <w:rPr>
          <w:rFonts w:hint="eastAsia" w:ascii="宋体" w:hAnsi="宋体" w:cs="宋体"/>
          <w:b/>
          <w:bCs/>
          <w:color w:val="auto"/>
          <w:sz w:val="30"/>
          <w:szCs w:val="30"/>
          <w:lang w:val="en-US" w:eastAsia="zh-CN"/>
        </w:rPr>
        <w:t>6</w:t>
      </w:r>
      <w:r>
        <w:rPr>
          <w:rFonts w:hint="eastAsia" w:ascii="宋体" w:hAnsi="宋体" w:cs="宋体"/>
          <w:b/>
          <w:bCs/>
          <w:color w:val="auto"/>
          <w:sz w:val="30"/>
          <w:szCs w:val="30"/>
        </w:rPr>
        <w:t>月</w:t>
      </w:r>
    </w:p>
    <w:p>
      <w:pPr>
        <w:adjustRightInd w:val="0"/>
        <w:snapToGrid w:val="0"/>
        <w:spacing w:line="360" w:lineRule="auto"/>
        <w:rPr>
          <w:rFonts w:ascii="宋体"/>
          <w:b/>
          <w:bCs/>
          <w:color w:val="auto"/>
          <w:sz w:val="44"/>
          <w:szCs w:val="44"/>
        </w:rPr>
      </w:pPr>
    </w:p>
    <w:p>
      <w:pPr>
        <w:adjustRightInd w:val="0"/>
        <w:snapToGrid w:val="0"/>
        <w:spacing w:line="360" w:lineRule="auto"/>
        <w:jc w:val="center"/>
        <w:rPr>
          <w:rFonts w:ascii="宋体"/>
          <w:b/>
          <w:bCs/>
          <w:i/>
          <w:iCs/>
          <w:color w:val="auto"/>
          <w:w w:val="80"/>
          <w:sz w:val="52"/>
          <w:szCs w:val="52"/>
        </w:rPr>
      </w:pPr>
      <w:r>
        <w:rPr>
          <w:rFonts w:hint="eastAsia" w:ascii="宋体" w:hAnsi="宋体" w:cs="宋体"/>
          <w:b/>
          <w:bCs/>
          <w:color w:val="auto"/>
          <w:w w:val="80"/>
          <w:sz w:val="52"/>
          <w:szCs w:val="52"/>
        </w:rPr>
        <w:t>目录</w:t>
      </w:r>
    </w:p>
    <w:p>
      <w:pPr>
        <w:spacing w:line="800" w:lineRule="exact"/>
        <w:jc w:val="center"/>
        <w:rPr>
          <w:rFonts w:ascii="宋体"/>
          <w:b/>
          <w:bCs/>
          <w:color w:val="auto"/>
          <w:sz w:val="52"/>
          <w:szCs w:val="52"/>
        </w:rPr>
      </w:pPr>
    </w:p>
    <w:p>
      <w:pPr>
        <w:pStyle w:val="25"/>
        <w:tabs>
          <w:tab w:val="left" w:pos="1050"/>
          <w:tab w:val="right" w:leader="dot" w:pos="9402"/>
        </w:tabs>
        <w:spacing w:line="520" w:lineRule="exact"/>
        <w:ind w:left="0"/>
        <w:rPr>
          <w:rFonts w:ascii="宋体"/>
          <w:i w:val="0"/>
          <w:iCs w:val="0"/>
          <w:color w:val="auto"/>
          <w:w w:val="80"/>
          <w:sz w:val="36"/>
          <w:szCs w:val="36"/>
        </w:rPr>
      </w:pPr>
      <w:r>
        <w:rPr>
          <w:rFonts w:hint="eastAsia" w:ascii="宋体" w:hAnsi="宋体" w:cs="宋体"/>
          <w:i w:val="0"/>
          <w:iCs w:val="0"/>
          <w:color w:val="auto"/>
          <w:w w:val="80"/>
          <w:sz w:val="36"/>
          <w:szCs w:val="36"/>
        </w:rPr>
        <w:t>第一章   竞争性磋商公告</w:t>
      </w:r>
    </w:p>
    <w:p>
      <w:pPr>
        <w:rPr>
          <w:rFonts w:ascii="宋体"/>
          <w:color w:val="auto"/>
          <w:sz w:val="36"/>
          <w:szCs w:val="36"/>
        </w:rPr>
      </w:pPr>
    </w:p>
    <w:p>
      <w:pPr>
        <w:pStyle w:val="25"/>
        <w:tabs>
          <w:tab w:val="left" w:pos="1050"/>
          <w:tab w:val="right" w:leader="dot" w:pos="9402"/>
        </w:tabs>
        <w:spacing w:line="520" w:lineRule="exact"/>
        <w:ind w:left="0"/>
        <w:rPr>
          <w:rFonts w:ascii="宋体"/>
          <w:i w:val="0"/>
          <w:iCs w:val="0"/>
          <w:color w:val="auto"/>
          <w:w w:val="80"/>
          <w:sz w:val="36"/>
          <w:szCs w:val="36"/>
        </w:rPr>
      </w:pPr>
      <w:r>
        <w:rPr>
          <w:rFonts w:hint="eastAsia" w:ascii="宋体" w:hAnsi="宋体" w:cs="宋体"/>
          <w:i w:val="0"/>
          <w:iCs w:val="0"/>
          <w:color w:val="auto"/>
          <w:w w:val="80"/>
          <w:sz w:val="36"/>
          <w:szCs w:val="36"/>
        </w:rPr>
        <w:t>第二章   磋商供应商须知</w:t>
      </w:r>
    </w:p>
    <w:p>
      <w:pPr>
        <w:rPr>
          <w:rFonts w:ascii="宋体"/>
          <w:color w:val="auto"/>
          <w:sz w:val="36"/>
          <w:szCs w:val="36"/>
        </w:rPr>
      </w:pPr>
    </w:p>
    <w:p>
      <w:pPr>
        <w:pStyle w:val="25"/>
        <w:tabs>
          <w:tab w:val="left" w:pos="1050"/>
          <w:tab w:val="right" w:leader="dot" w:pos="9402"/>
        </w:tabs>
        <w:spacing w:line="520" w:lineRule="exact"/>
        <w:ind w:left="1"/>
        <w:rPr>
          <w:rFonts w:ascii="宋体"/>
          <w:i w:val="0"/>
          <w:iCs w:val="0"/>
          <w:color w:val="auto"/>
          <w:w w:val="80"/>
          <w:sz w:val="36"/>
          <w:szCs w:val="36"/>
        </w:rPr>
      </w:pPr>
      <w:r>
        <w:rPr>
          <w:rFonts w:hint="eastAsia" w:ascii="宋体" w:hAnsi="宋体" w:cs="宋体"/>
          <w:i w:val="0"/>
          <w:iCs w:val="0"/>
          <w:color w:val="auto"/>
          <w:w w:val="80"/>
          <w:sz w:val="36"/>
          <w:szCs w:val="36"/>
        </w:rPr>
        <w:t>第三章   项目需求</w:t>
      </w:r>
    </w:p>
    <w:p>
      <w:pPr>
        <w:rPr>
          <w:rFonts w:ascii="宋体"/>
          <w:color w:val="auto"/>
          <w:sz w:val="36"/>
          <w:szCs w:val="36"/>
        </w:rPr>
      </w:pPr>
    </w:p>
    <w:p>
      <w:pPr>
        <w:pStyle w:val="25"/>
        <w:tabs>
          <w:tab w:val="left" w:pos="1050"/>
          <w:tab w:val="right" w:leader="dot" w:pos="9402"/>
        </w:tabs>
        <w:spacing w:line="520" w:lineRule="exact"/>
        <w:ind w:left="0"/>
        <w:rPr>
          <w:rFonts w:ascii="宋体"/>
          <w:i w:val="0"/>
          <w:iCs w:val="0"/>
          <w:color w:val="auto"/>
          <w:w w:val="80"/>
          <w:sz w:val="36"/>
          <w:szCs w:val="36"/>
        </w:rPr>
      </w:pPr>
      <w:r>
        <w:rPr>
          <w:rFonts w:hint="eastAsia" w:ascii="宋体" w:hAnsi="宋体" w:cs="宋体"/>
          <w:i w:val="0"/>
          <w:iCs w:val="0"/>
          <w:color w:val="auto"/>
          <w:w w:val="80"/>
          <w:sz w:val="36"/>
          <w:szCs w:val="36"/>
        </w:rPr>
        <w:t>第四章   评审程序和内容</w:t>
      </w:r>
    </w:p>
    <w:p>
      <w:pPr>
        <w:rPr>
          <w:rFonts w:ascii="宋体"/>
          <w:color w:val="auto"/>
          <w:sz w:val="36"/>
          <w:szCs w:val="36"/>
        </w:rPr>
      </w:pPr>
    </w:p>
    <w:p>
      <w:pPr>
        <w:pStyle w:val="25"/>
        <w:numPr>
          <w:ilvl w:val="0"/>
          <w:numId w:val="2"/>
        </w:numPr>
        <w:tabs>
          <w:tab w:val="left" w:pos="1050"/>
          <w:tab w:val="right" w:leader="dot" w:pos="9402"/>
        </w:tabs>
        <w:spacing w:line="520" w:lineRule="exact"/>
        <w:ind w:left="0"/>
        <w:rPr>
          <w:rFonts w:ascii="宋体"/>
          <w:i w:val="0"/>
          <w:iCs w:val="0"/>
          <w:color w:val="auto"/>
          <w:w w:val="80"/>
          <w:sz w:val="36"/>
          <w:szCs w:val="36"/>
        </w:rPr>
      </w:pPr>
      <w:r>
        <w:rPr>
          <w:rFonts w:hint="eastAsia" w:ascii="宋体" w:hAnsi="宋体" w:cs="宋体"/>
          <w:i w:val="0"/>
          <w:iCs w:val="0"/>
          <w:color w:val="auto"/>
          <w:w w:val="80"/>
          <w:sz w:val="36"/>
          <w:szCs w:val="36"/>
        </w:rPr>
        <w:t xml:space="preserve">  合同授予</w:t>
      </w:r>
    </w:p>
    <w:p>
      <w:pPr>
        <w:rPr>
          <w:rFonts w:ascii="宋体"/>
          <w:i/>
          <w:iCs/>
          <w:color w:val="auto"/>
          <w:w w:val="80"/>
          <w:sz w:val="36"/>
          <w:szCs w:val="36"/>
        </w:rPr>
      </w:pPr>
    </w:p>
    <w:p>
      <w:pPr>
        <w:pStyle w:val="25"/>
        <w:numPr>
          <w:ilvl w:val="0"/>
          <w:numId w:val="2"/>
        </w:numPr>
        <w:tabs>
          <w:tab w:val="left" w:pos="1050"/>
          <w:tab w:val="right" w:leader="dot" w:pos="9402"/>
        </w:tabs>
        <w:spacing w:line="520" w:lineRule="exact"/>
        <w:ind w:left="0"/>
        <w:rPr>
          <w:rFonts w:ascii="宋体"/>
          <w:i w:val="0"/>
          <w:iCs w:val="0"/>
          <w:color w:val="auto"/>
          <w:w w:val="80"/>
          <w:sz w:val="36"/>
          <w:szCs w:val="36"/>
        </w:rPr>
      </w:pPr>
      <w:r>
        <w:rPr>
          <w:rFonts w:hint="eastAsia" w:ascii="宋体" w:hAnsi="宋体" w:cs="宋体"/>
          <w:i w:val="0"/>
          <w:iCs w:val="0"/>
          <w:color w:val="auto"/>
          <w:w w:val="80"/>
          <w:sz w:val="36"/>
          <w:szCs w:val="36"/>
        </w:rPr>
        <w:t xml:space="preserve">  质疑提出和处理</w:t>
      </w:r>
    </w:p>
    <w:p>
      <w:pPr>
        <w:rPr>
          <w:rFonts w:ascii="宋体"/>
          <w:color w:val="auto"/>
          <w:sz w:val="36"/>
          <w:szCs w:val="36"/>
        </w:rPr>
      </w:pPr>
    </w:p>
    <w:p>
      <w:pPr>
        <w:pStyle w:val="25"/>
        <w:tabs>
          <w:tab w:val="left" w:pos="1050"/>
          <w:tab w:val="right" w:leader="dot" w:pos="9402"/>
        </w:tabs>
        <w:spacing w:line="520" w:lineRule="exact"/>
        <w:ind w:left="0"/>
        <w:rPr>
          <w:rFonts w:ascii="宋体"/>
          <w:i w:val="0"/>
          <w:iCs w:val="0"/>
          <w:color w:val="auto"/>
          <w:w w:val="80"/>
          <w:sz w:val="36"/>
          <w:szCs w:val="36"/>
        </w:rPr>
      </w:pPr>
      <w:r>
        <w:rPr>
          <w:rFonts w:hint="eastAsia" w:ascii="宋体" w:hAnsi="宋体" w:cs="宋体"/>
          <w:i w:val="0"/>
          <w:iCs w:val="0"/>
          <w:color w:val="auto"/>
          <w:w w:val="80"/>
          <w:sz w:val="36"/>
          <w:szCs w:val="36"/>
        </w:rPr>
        <w:t>第七章   响应文件组成及格式</w:t>
      </w:r>
    </w:p>
    <w:p>
      <w:pPr>
        <w:rPr>
          <w:rFonts w:ascii="宋体"/>
          <w:color w:val="auto"/>
          <w:sz w:val="36"/>
          <w:szCs w:val="36"/>
        </w:rPr>
      </w:pPr>
    </w:p>
    <w:p>
      <w:pPr>
        <w:rPr>
          <w:rFonts w:ascii="宋体"/>
          <w:color w:val="auto"/>
          <w:sz w:val="36"/>
          <w:szCs w:val="36"/>
        </w:rPr>
      </w:pPr>
    </w:p>
    <w:p>
      <w:pPr>
        <w:rPr>
          <w:rFonts w:ascii="宋体"/>
          <w:color w:val="auto"/>
          <w:sz w:val="36"/>
          <w:szCs w:val="36"/>
        </w:rPr>
      </w:pPr>
    </w:p>
    <w:p>
      <w:pPr>
        <w:spacing w:line="480" w:lineRule="exact"/>
        <w:ind w:firstLine="420" w:firstLineChars="200"/>
        <w:rPr>
          <w:rFonts w:ascii="宋体" w:hAnsi="宋体" w:cs="宋体"/>
          <w:b/>
          <w:bCs/>
          <w:color w:val="auto"/>
          <w:sz w:val="24"/>
          <w:szCs w:val="24"/>
        </w:rPr>
      </w:pPr>
      <w:r>
        <w:rPr>
          <w:rFonts w:ascii="宋体"/>
          <w:b/>
          <w:bCs/>
          <w:color w:val="auto"/>
        </w:rPr>
        <w:br w:type="page"/>
      </w:r>
    </w:p>
    <w:p>
      <w:pPr>
        <w:pStyle w:val="25"/>
        <w:tabs>
          <w:tab w:val="left" w:pos="1050"/>
          <w:tab w:val="right" w:leader="dot" w:pos="9402"/>
        </w:tabs>
        <w:spacing w:line="480" w:lineRule="exact"/>
        <w:ind w:left="0" w:firstLine="577" w:firstLineChars="200"/>
        <w:jc w:val="center"/>
        <w:outlineLvl w:val="0"/>
        <w:rPr>
          <w:rFonts w:hint="eastAsia" w:ascii="宋体" w:hAnsi="宋体" w:eastAsia="宋体" w:cs="宋体"/>
          <w:b/>
          <w:bCs/>
          <w:i w:val="0"/>
          <w:iCs w:val="0"/>
          <w:color w:val="auto"/>
          <w:sz w:val="36"/>
          <w:szCs w:val="36"/>
        </w:rPr>
      </w:pPr>
      <w:bookmarkStart w:id="79" w:name="_GoBack"/>
      <w:bookmarkStart w:id="11" w:name="_Toc363573853"/>
      <w:r>
        <w:rPr>
          <w:rFonts w:hint="eastAsia" w:ascii="宋体" w:hAnsi="宋体" w:eastAsia="宋体" w:cs="宋体"/>
          <w:b/>
          <w:bCs/>
          <w:i w:val="0"/>
          <w:iCs w:val="0"/>
          <w:color w:val="auto"/>
          <w:w w:val="80"/>
          <w:sz w:val="36"/>
          <w:szCs w:val="36"/>
        </w:rPr>
        <w:t>第一章竞争性磋商公</w:t>
      </w:r>
      <w:bookmarkEnd w:id="1"/>
      <w:bookmarkEnd w:id="2"/>
      <w:bookmarkEnd w:id="3"/>
      <w:bookmarkEnd w:id="4"/>
      <w:bookmarkEnd w:id="5"/>
      <w:bookmarkEnd w:id="6"/>
      <w:bookmarkEnd w:id="7"/>
      <w:bookmarkEnd w:id="8"/>
      <w:bookmarkEnd w:id="9"/>
      <w:bookmarkEnd w:id="10"/>
      <w:r>
        <w:rPr>
          <w:rFonts w:hint="eastAsia" w:ascii="宋体" w:hAnsi="宋体" w:eastAsia="宋体" w:cs="宋体"/>
          <w:b/>
          <w:bCs/>
          <w:i w:val="0"/>
          <w:iCs w:val="0"/>
          <w:color w:val="auto"/>
          <w:w w:val="80"/>
          <w:sz w:val="36"/>
          <w:szCs w:val="36"/>
        </w:rPr>
        <w:t>告</w:t>
      </w:r>
      <w:bookmarkEnd w:id="11"/>
    </w:p>
    <w:p>
      <w:pPr>
        <w:spacing w:line="480" w:lineRule="exact"/>
        <w:rPr>
          <w:rFonts w:hint="eastAsia" w:ascii="宋体" w:hAnsi="宋体" w:eastAsia="宋体" w:cs="宋体"/>
          <w:color w:val="auto"/>
          <w:sz w:val="24"/>
          <w:szCs w:val="24"/>
        </w:rPr>
      </w:pPr>
    </w:p>
    <w:p>
      <w:pPr>
        <w:pBdr>
          <w:top w:val="single" w:color="auto" w:sz="4" w:space="1"/>
          <w:left w:val="single" w:color="auto" w:sz="4" w:space="4"/>
          <w:bottom w:val="single" w:color="auto" w:sz="4" w:space="1"/>
          <w:right w:val="single" w:color="auto" w:sz="4" w:space="4"/>
        </w:pBd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pBdr>
          <w:top w:val="single" w:color="auto" w:sz="4" w:space="1"/>
          <w:left w:val="single" w:color="auto" w:sz="4" w:space="4"/>
          <w:bottom w:val="single" w:color="auto" w:sz="4" w:space="1"/>
          <w:right w:val="single" w:color="auto" w:sz="4" w:space="4"/>
        </w:pBdr>
        <w:spacing w:line="48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u w:val="single"/>
          <w:lang w:eastAsia="zh-CN"/>
        </w:rPr>
        <w:t>2025年启东市汇龙镇安全生产技术服务项目</w:t>
      </w:r>
      <w:r>
        <w:rPr>
          <w:rFonts w:hint="eastAsia" w:ascii="宋体" w:hAnsi="宋体" w:eastAsia="宋体" w:cs="宋体"/>
          <w:color w:val="auto"/>
          <w:sz w:val="24"/>
          <w:szCs w:val="24"/>
        </w:rPr>
        <w:t>的潜在供应商应在</w:t>
      </w:r>
      <w:r>
        <w:rPr>
          <w:rFonts w:hint="eastAsia" w:ascii="宋体" w:hAnsi="宋体" w:cs="宋体"/>
          <w:color w:val="auto"/>
          <w:sz w:val="24"/>
          <w:szCs w:val="24"/>
          <w:u w:val="single"/>
          <w:lang w:eastAsia="zh-CN"/>
        </w:rPr>
        <w:t>启东市人民政府网</w:t>
      </w:r>
      <w:r>
        <w:rPr>
          <w:rFonts w:hint="eastAsia" w:ascii="宋体" w:hAnsi="宋体" w:eastAsia="宋体" w:cs="宋体"/>
          <w:color w:val="auto"/>
          <w:sz w:val="24"/>
          <w:szCs w:val="24"/>
        </w:rPr>
        <w:t>获取采购文件，并于</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2025年6月19日14时00分</w:t>
      </w:r>
      <w:r>
        <w:rPr>
          <w:rFonts w:hint="eastAsia" w:ascii="宋体" w:hAnsi="宋体" w:eastAsia="宋体" w:cs="宋体"/>
          <w:bCs/>
          <w:color w:val="auto"/>
          <w:sz w:val="24"/>
          <w:szCs w:val="24"/>
        </w:rPr>
        <w:t>（北京时间）前</w:t>
      </w:r>
      <w:r>
        <w:rPr>
          <w:rFonts w:hint="eastAsia" w:ascii="宋体" w:hAnsi="宋体" w:cs="宋体"/>
          <w:bCs/>
          <w:color w:val="auto"/>
          <w:sz w:val="24"/>
          <w:szCs w:val="24"/>
          <w:lang w:val="en-US" w:eastAsia="zh-CN"/>
        </w:rPr>
        <w:t>递交</w:t>
      </w:r>
      <w:r>
        <w:rPr>
          <w:rFonts w:hint="eastAsia" w:ascii="宋体" w:hAnsi="宋体" w:eastAsia="宋体" w:cs="宋体"/>
          <w:bCs/>
          <w:color w:val="auto"/>
          <w:sz w:val="24"/>
          <w:szCs w:val="24"/>
        </w:rPr>
        <w:t>响应文件</w:t>
      </w:r>
      <w:r>
        <w:rPr>
          <w:rFonts w:hint="eastAsia" w:ascii="宋体" w:hAnsi="宋体" w:eastAsia="宋体" w:cs="宋体"/>
          <w:color w:val="auto"/>
          <w:sz w:val="24"/>
          <w:szCs w:val="24"/>
        </w:rPr>
        <w:t>。</w:t>
      </w:r>
    </w:p>
    <w:p>
      <w:pPr>
        <w:widowControl/>
        <w:spacing w:line="480" w:lineRule="exact"/>
        <w:ind w:firstLine="480" w:firstLineChars="200"/>
        <w:rPr>
          <w:rFonts w:hint="eastAsia" w:ascii="宋体" w:hAnsi="宋体" w:eastAsia="宋体" w:cs="宋体"/>
          <w:b/>
          <w:bCs/>
          <w:color w:val="auto"/>
          <w:sz w:val="24"/>
          <w:szCs w:val="24"/>
        </w:rPr>
      </w:pPr>
      <w:bookmarkStart w:id="12" w:name="_Toc35393798"/>
      <w:bookmarkStart w:id="13" w:name="_Toc35393629"/>
      <w:bookmarkStart w:id="14" w:name="_Toc28359012"/>
      <w:bookmarkStart w:id="15" w:name="_Toc28359089"/>
      <w:r>
        <w:rPr>
          <w:rFonts w:hint="eastAsia" w:ascii="宋体" w:hAnsi="宋体" w:eastAsia="宋体" w:cs="宋体"/>
          <w:b/>
          <w:bCs/>
          <w:color w:val="auto"/>
          <w:sz w:val="24"/>
          <w:szCs w:val="24"/>
        </w:rPr>
        <w:t>一、项目基本情况</w:t>
      </w:r>
      <w:bookmarkEnd w:id="12"/>
      <w:bookmarkEnd w:id="13"/>
      <w:bookmarkEnd w:id="14"/>
      <w:bookmarkEnd w:id="15"/>
    </w:p>
    <w:p>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cs="宋体"/>
          <w:color w:val="auto"/>
          <w:sz w:val="24"/>
          <w:szCs w:val="24"/>
          <w:lang w:eastAsia="zh-CN"/>
        </w:rPr>
        <w:t>2025年启东市汇龙镇安全生产技术服务项目</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项目类型：</w:t>
      </w:r>
      <w:r>
        <w:rPr>
          <w:rFonts w:hint="eastAsia" w:ascii="宋体" w:hAnsi="宋体" w:eastAsia="宋体" w:cs="宋体"/>
          <w:color w:val="auto"/>
          <w:sz w:val="24"/>
          <w:szCs w:val="24"/>
          <w:lang w:val="en-US" w:eastAsia="zh-CN"/>
        </w:rPr>
        <w:t>服务</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所属行业：其他未列明行业</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预算金额：约25万元/年</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最高限价：500元/家•次，最终按照实际检查次数进行结算。最终报价高于或等于最高限价单价的</w:t>
      </w:r>
      <w:r>
        <w:rPr>
          <w:rFonts w:hint="eastAsia" w:ascii="宋体" w:hAnsi="宋体" w:cs="宋体"/>
          <w:color w:val="auto"/>
          <w:sz w:val="24"/>
          <w:szCs w:val="24"/>
          <w:lang w:val="en-US" w:eastAsia="zh-CN"/>
        </w:rPr>
        <w:t>无效响应</w:t>
      </w:r>
      <w:r>
        <w:rPr>
          <w:rFonts w:hint="eastAsia" w:ascii="宋体" w:hAnsi="宋体" w:eastAsia="宋体" w:cs="宋体"/>
          <w:color w:val="auto"/>
          <w:sz w:val="24"/>
          <w:szCs w:val="24"/>
        </w:rPr>
        <w:t>处理。</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采购需求：详见竞争性磋商文件第三章。</w:t>
      </w:r>
    </w:p>
    <w:p>
      <w:pPr>
        <w:snapToGrid w:val="0"/>
        <w:spacing w:line="480" w:lineRule="exact"/>
        <w:ind w:firstLine="480" w:firstLineChars="200"/>
        <w:rPr>
          <w:rFonts w:hint="eastAsia" w:ascii="宋体" w:hAnsi="宋体" w:eastAsia="宋体" w:cs="宋体"/>
          <w:color w:val="auto"/>
          <w:kern w:val="1"/>
          <w:sz w:val="24"/>
          <w:szCs w:val="24"/>
        </w:rPr>
      </w:pPr>
      <w:r>
        <w:rPr>
          <w:rFonts w:hint="eastAsia" w:ascii="宋体" w:hAnsi="宋体" w:cs="宋体"/>
          <w:color w:val="auto"/>
          <w:sz w:val="24"/>
          <w:szCs w:val="24"/>
          <w:lang w:val="en-US" w:eastAsia="zh-CN"/>
        </w:rPr>
        <w:t>合同</w:t>
      </w:r>
      <w:r>
        <w:rPr>
          <w:rFonts w:hint="eastAsia" w:ascii="宋体" w:hAnsi="宋体" w:eastAsia="宋体" w:cs="宋体"/>
          <w:color w:val="auto"/>
          <w:sz w:val="24"/>
          <w:szCs w:val="24"/>
        </w:rPr>
        <w:t>履行期限：自合同签订之日起两年，根据被服务单位以及相关条线部门的评价结果确定是否续签，续签最多一年（评价周期为一年一次，合同期内评价较满意率均达到90%及以上方可续签）。</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本项目不接受联合体响应。</w:t>
      </w:r>
    </w:p>
    <w:p>
      <w:pPr>
        <w:widowControl/>
        <w:spacing w:line="480" w:lineRule="exact"/>
        <w:ind w:firstLine="480" w:firstLineChars="200"/>
        <w:rPr>
          <w:rFonts w:hint="eastAsia" w:ascii="宋体" w:hAnsi="宋体" w:eastAsia="宋体" w:cs="宋体"/>
          <w:b/>
          <w:bCs/>
          <w:color w:val="auto"/>
          <w:sz w:val="24"/>
          <w:szCs w:val="24"/>
        </w:rPr>
      </w:pPr>
      <w:bookmarkStart w:id="16" w:name="_Toc28359090"/>
      <w:bookmarkStart w:id="17" w:name="_Toc35393799"/>
      <w:bookmarkStart w:id="18" w:name="_Toc28359013"/>
      <w:bookmarkStart w:id="19" w:name="_Toc35393630"/>
      <w:r>
        <w:rPr>
          <w:rFonts w:hint="eastAsia" w:ascii="宋体" w:hAnsi="宋体" w:eastAsia="宋体" w:cs="宋体"/>
          <w:b/>
          <w:bCs/>
          <w:color w:val="auto"/>
          <w:sz w:val="24"/>
          <w:szCs w:val="24"/>
        </w:rPr>
        <w:t>二、申请人的资格要求：</w:t>
      </w:r>
      <w:bookmarkEnd w:id="16"/>
      <w:bookmarkEnd w:id="17"/>
      <w:bookmarkEnd w:id="18"/>
      <w:bookmarkEnd w:id="19"/>
    </w:p>
    <w:p>
      <w:pPr>
        <w:pStyle w:val="213"/>
        <w:widowControl/>
        <w:spacing w:line="480" w:lineRule="exact"/>
        <w:ind w:firstLine="480"/>
        <w:outlineLvl w:val="0"/>
        <w:rPr>
          <w:rFonts w:hint="eastAsia" w:ascii="宋体" w:hAnsi="宋体" w:eastAsia="宋体" w:cs="宋体"/>
          <w:color w:val="auto"/>
          <w:sz w:val="24"/>
          <w:szCs w:val="24"/>
        </w:rPr>
      </w:pPr>
      <w:bookmarkStart w:id="20" w:name="OLE_LINK19"/>
      <w:bookmarkStart w:id="21" w:name="OLE_LINK20"/>
      <w:r>
        <w:rPr>
          <w:rFonts w:hint="eastAsia" w:ascii="宋体" w:hAnsi="宋体" w:eastAsia="宋体" w:cs="宋体"/>
          <w:color w:val="auto"/>
          <w:sz w:val="24"/>
          <w:szCs w:val="24"/>
        </w:rPr>
        <w:t>1.供应商满足下列相关规定：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pStyle w:val="213"/>
        <w:widowControl/>
        <w:spacing w:line="480" w:lineRule="exact"/>
        <w:ind w:firstLine="480"/>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供应商法定代表人参加响应的，必须提供法定代表人身份证明及法定代表人本人身份证复印件；非法定代表人参加响应的，必须提供法定代表人签名或盖章的授权委托书及法定代表人和被授权人两个人的身份证复印件</w:t>
      </w:r>
      <w:r>
        <w:rPr>
          <w:rFonts w:hint="eastAsia" w:ascii="宋体" w:hAnsi="宋体" w:eastAsia="宋体" w:cs="宋体"/>
          <w:color w:val="auto"/>
          <w:sz w:val="24"/>
          <w:szCs w:val="24"/>
          <w:lang w:eastAsia="zh-CN"/>
        </w:rPr>
        <w:t>。</w:t>
      </w:r>
    </w:p>
    <w:p>
      <w:pPr>
        <w:widowControl/>
        <w:spacing w:line="480" w:lineRule="exact"/>
        <w:ind w:firstLine="480" w:firstLineChars="200"/>
        <w:outlineLvl w:val="0"/>
        <w:rPr>
          <w:rFonts w:hint="eastAsia" w:ascii="宋体" w:hAnsi="宋体" w:eastAsia="宋体" w:cs="宋体"/>
          <w:color w:val="auto"/>
          <w:sz w:val="24"/>
          <w:szCs w:val="24"/>
        </w:rPr>
      </w:pPr>
      <w:r>
        <w:rPr>
          <w:rFonts w:hint="eastAsia" w:ascii="宋体" w:hAnsi="宋体" w:eastAsia="宋体" w:cs="宋体"/>
          <w:color w:val="auto"/>
          <w:sz w:val="24"/>
          <w:szCs w:val="24"/>
        </w:rPr>
        <w:t>3. 拟派项目负责人需具有注册安全工程师证书且注册在投标企业，并提供社保机构出具的供应商为其缴纳的2025年2月-2025年5月任意一个月的社保缴纳证明材料。</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供应商须提供参与本次项目采购活动前三年内，在经营活动中没有重大违法记录的书面《无重大违法记录声明函》。</w:t>
      </w:r>
      <w:bookmarkEnd w:id="20"/>
      <w:bookmarkEnd w:id="21"/>
    </w:p>
    <w:p>
      <w:pPr>
        <w:spacing w:line="48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供应商单位负责人为同一人或者存在直接控股、管理关系的不同供应商，不得同时参加同一合同项下的采购活动。</w:t>
      </w:r>
    </w:p>
    <w:p>
      <w:pPr>
        <w:pStyle w:val="52"/>
        <w:spacing w:after="0" w:line="480" w:lineRule="exact"/>
        <w:ind w:firstLine="482"/>
        <w:rPr>
          <w:rFonts w:hint="eastAsia" w:ascii="宋体" w:hAnsi="宋体" w:eastAsia="宋体" w:cs="宋体"/>
          <w:color w:val="auto"/>
          <w:sz w:val="24"/>
          <w:szCs w:val="24"/>
        </w:rPr>
      </w:pPr>
      <w:r>
        <w:rPr>
          <w:rFonts w:hint="eastAsia" w:ascii="宋体" w:hAnsi="宋体" w:eastAsia="宋体" w:cs="宋体"/>
          <w:b/>
          <w:bCs/>
          <w:color w:val="auto"/>
          <w:sz w:val="24"/>
          <w:szCs w:val="24"/>
        </w:rPr>
        <w:t>三、磋商文件的获取</w:t>
      </w:r>
    </w:p>
    <w:p>
      <w:pPr>
        <w:widowControl/>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自竞争性磋商公告上网发布之时起至</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截止时间前自行在“启东市人民政府网”下载。</w:t>
      </w:r>
    </w:p>
    <w:p>
      <w:pPr>
        <w:spacing w:line="480" w:lineRule="exact"/>
        <w:ind w:firstLine="471"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四、响应文件递交的时间、地点</w:t>
      </w:r>
    </w:p>
    <w:p>
      <w:pPr>
        <w:autoSpaceDE w:val="0"/>
        <w:autoSpaceDN w:val="0"/>
        <w:spacing w:line="480" w:lineRule="exact"/>
        <w:ind w:firstLine="480" w:firstLineChars="200"/>
        <w:rPr>
          <w:rFonts w:hint="eastAsia" w:ascii="宋体" w:hAnsi="宋体" w:eastAsia="宋体" w:cs="宋体"/>
          <w:b/>
          <w:bCs/>
          <w:color w:val="auto"/>
          <w:sz w:val="24"/>
          <w:szCs w:val="24"/>
        </w:rPr>
      </w:pPr>
      <w:bookmarkStart w:id="22" w:name="_Toc35393802"/>
      <w:bookmarkStart w:id="23" w:name="_Toc28359093"/>
      <w:bookmarkStart w:id="24" w:name="_Toc28359016"/>
      <w:bookmarkStart w:id="25" w:name="_Toc35393633"/>
      <w:r>
        <w:rPr>
          <w:rFonts w:hint="eastAsia" w:ascii="宋体" w:hAnsi="宋体" w:eastAsia="宋体" w:cs="宋体"/>
          <w:b/>
          <w:bCs/>
          <w:color w:val="auto"/>
          <w:sz w:val="24"/>
          <w:szCs w:val="24"/>
        </w:rPr>
        <w:t>1．接收人：</w:t>
      </w:r>
      <w:r>
        <w:rPr>
          <w:rFonts w:hint="eastAsia" w:ascii="宋体" w:hAnsi="宋体" w:eastAsia="宋体" w:cs="宋体"/>
          <w:b w:val="0"/>
          <w:bCs w:val="0"/>
          <w:color w:val="auto"/>
          <w:sz w:val="24"/>
          <w:szCs w:val="24"/>
        </w:rPr>
        <w:t>采购代理机构；</w:t>
      </w:r>
    </w:p>
    <w:p>
      <w:pPr>
        <w:autoSpaceDE w:val="0"/>
        <w:autoSpaceDN w:val="0"/>
        <w:spacing w:line="480" w:lineRule="exact"/>
        <w:ind w:firstLine="480"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 响应文件截止时间、开标时间：</w:t>
      </w:r>
      <w:r>
        <w:rPr>
          <w:rFonts w:hint="eastAsia" w:ascii="宋体" w:hAnsi="宋体" w:cs="宋体"/>
          <w:b w:val="0"/>
          <w:bCs w:val="0"/>
          <w:color w:val="auto"/>
          <w:sz w:val="24"/>
          <w:szCs w:val="24"/>
          <w:lang w:eastAsia="zh-CN"/>
        </w:rPr>
        <w:t>2025年6月19日14时00分</w:t>
      </w:r>
      <w:r>
        <w:rPr>
          <w:rFonts w:hint="eastAsia" w:ascii="宋体" w:hAnsi="宋体" w:eastAsia="宋体" w:cs="宋体"/>
          <w:b w:val="0"/>
          <w:bCs w:val="0"/>
          <w:color w:val="auto"/>
          <w:sz w:val="24"/>
          <w:szCs w:val="24"/>
        </w:rPr>
        <w:t>；</w:t>
      </w:r>
    </w:p>
    <w:p>
      <w:pPr>
        <w:autoSpaceDE w:val="0"/>
        <w:autoSpaceDN w:val="0"/>
        <w:spacing w:line="480" w:lineRule="exact"/>
        <w:ind w:firstLine="480"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3．响应文件递交地点：</w:t>
      </w:r>
      <w:r>
        <w:rPr>
          <w:rFonts w:hint="eastAsia" w:ascii="宋体" w:hAnsi="宋体" w:eastAsia="宋体" w:cs="宋体"/>
          <w:b w:val="0"/>
          <w:bCs w:val="0"/>
          <w:color w:val="auto"/>
          <w:sz w:val="24"/>
          <w:szCs w:val="24"/>
        </w:rPr>
        <w:t>启东市汇龙镇便民服务中心二楼开标室，如有变动另行通知</w:t>
      </w:r>
      <w:r>
        <w:rPr>
          <w:rFonts w:hint="eastAsia" w:ascii="宋体" w:hAnsi="宋体" w:eastAsia="宋体" w:cs="宋体"/>
          <w:b w:val="0"/>
          <w:bCs w:val="0"/>
          <w:color w:val="auto"/>
          <w:sz w:val="24"/>
          <w:szCs w:val="24"/>
          <w:lang w:eastAsia="zh-CN"/>
        </w:rPr>
        <w:t>。</w:t>
      </w:r>
    </w:p>
    <w:p>
      <w:pPr>
        <w:pStyle w:val="4"/>
        <w:spacing w:before="0" w:after="0" w:line="480" w:lineRule="exact"/>
        <w:ind w:firstLine="480" w:firstLineChars="200"/>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五、</w:t>
      </w:r>
      <w:bookmarkEnd w:id="22"/>
      <w:bookmarkEnd w:id="23"/>
      <w:bookmarkEnd w:id="24"/>
      <w:bookmarkEnd w:id="25"/>
      <w:bookmarkStart w:id="26" w:name="_Toc35393803"/>
      <w:bookmarkStart w:id="27" w:name="_Toc28359017"/>
      <w:bookmarkStart w:id="28" w:name="_Toc28359094"/>
      <w:bookmarkStart w:id="29" w:name="_Toc35393634"/>
      <w:r>
        <w:rPr>
          <w:rFonts w:hint="eastAsia" w:ascii="宋体" w:hAnsi="宋体" w:eastAsia="宋体" w:cs="宋体"/>
          <w:bCs w:val="0"/>
          <w:color w:val="auto"/>
          <w:sz w:val="24"/>
          <w:szCs w:val="24"/>
        </w:rPr>
        <w:t>公告期限</w:t>
      </w:r>
      <w:bookmarkEnd w:id="26"/>
      <w:bookmarkEnd w:id="27"/>
      <w:bookmarkEnd w:id="28"/>
      <w:bookmarkEnd w:id="29"/>
    </w:p>
    <w:p>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自本公告发布之日起3个工作日。</w:t>
      </w:r>
    </w:p>
    <w:p>
      <w:pPr>
        <w:spacing w:line="480" w:lineRule="exact"/>
        <w:ind w:firstLine="480" w:firstLineChars="200"/>
        <w:rPr>
          <w:rFonts w:hint="eastAsia" w:ascii="宋体" w:hAnsi="宋体" w:eastAsia="宋体" w:cs="宋体"/>
          <w:b/>
          <w:color w:val="auto"/>
          <w:kern w:val="0"/>
          <w:sz w:val="24"/>
          <w:szCs w:val="24"/>
        </w:rPr>
      </w:pPr>
      <w:bookmarkStart w:id="30" w:name="_Toc28359018"/>
      <w:bookmarkStart w:id="31" w:name="_Toc28359095"/>
      <w:bookmarkStart w:id="32" w:name="_Toc35393636"/>
      <w:bookmarkStart w:id="33" w:name="_Toc35393805"/>
      <w:r>
        <w:rPr>
          <w:rFonts w:hint="eastAsia" w:ascii="宋体" w:hAnsi="宋体" w:eastAsia="宋体" w:cs="宋体"/>
          <w:b/>
          <w:bCs/>
          <w:color w:val="auto"/>
          <w:sz w:val="24"/>
          <w:szCs w:val="24"/>
        </w:rPr>
        <w:t>六、</w:t>
      </w:r>
      <w:r>
        <w:rPr>
          <w:rFonts w:hint="eastAsia" w:ascii="宋体" w:hAnsi="宋体" w:eastAsia="宋体" w:cs="宋体"/>
          <w:b/>
          <w:bCs/>
          <w:color w:val="auto"/>
          <w:kern w:val="0"/>
          <w:sz w:val="24"/>
          <w:szCs w:val="24"/>
        </w:rPr>
        <w:t>凡</w:t>
      </w:r>
      <w:r>
        <w:rPr>
          <w:rFonts w:hint="eastAsia" w:ascii="宋体" w:hAnsi="宋体" w:eastAsia="宋体" w:cs="宋体"/>
          <w:b/>
          <w:color w:val="auto"/>
          <w:kern w:val="0"/>
          <w:sz w:val="24"/>
          <w:szCs w:val="24"/>
        </w:rPr>
        <w:t>对本次采购提出询问，请按以下方式联系。</w:t>
      </w:r>
      <w:bookmarkEnd w:id="30"/>
      <w:bookmarkEnd w:id="31"/>
      <w:bookmarkEnd w:id="32"/>
      <w:bookmarkEnd w:id="33"/>
    </w:p>
    <w:p>
      <w:pPr>
        <w:keepNext w:val="0"/>
        <w:keepLines w:val="0"/>
        <w:pageBreakBefore w:val="0"/>
        <w:widowControl w:val="0"/>
        <w:shd w:val="clear" w:color="auto" w:fill="FFFFFF"/>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pacing w:val="0"/>
          <w:sz w:val="24"/>
          <w:szCs w:val="24"/>
        </w:rPr>
      </w:pPr>
      <w:bookmarkStart w:id="34" w:name="_Toc35393637"/>
      <w:bookmarkStart w:id="35" w:name="_Toc28359096"/>
      <w:bookmarkStart w:id="36" w:name="_Toc28359019"/>
      <w:bookmarkStart w:id="37" w:name="_Toc35393806"/>
      <w:r>
        <w:rPr>
          <w:rFonts w:hint="eastAsia" w:ascii="宋体" w:hAnsi="宋体" w:eastAsia="宋体" w:cs="宋体"/>
          <w:color w:val="auto"/>
          <w:spacing w:val="0"/>
          <w:sz w:val="24"/>
          <w:szCs w:val="24"/>
        </w:rPr>
        <w:t>1.</w:t>
      </w:r>
      <w:r>
        <w:rPr>
          <w:rFonts w:hint="eastAsia" w:ascii="宋体" w:hAnsi="宋体" w:eastAsia="宋体" w:cs="宋体"/>
          <w:color w:val="auto"/>
          <w:spacing w:val="0"/>
          <w:sz w:val="24"/>
          <w:szCs w:val="24"/>
          <w:lang w:val="en-US" w:eastAsia="zh-CN"/>
        </w:rPr>
        <w:t>采购单位</w:t>
      </w:r>
      <w:r>
        <w:rPr>
          <w:rFonts w:hint="eastAsia" w:ascii="宋体" w:hAnsi="宋体" w:eastAsia="宋体" w:cs="宋体"/>
          <w:color w:val="auto"/>
          <w:spacing w:val="0"/>
          <w:sz w:val="24"/>
          <w:szCs w:val="24"/>
        </w:rPr>
        <w:t>信息</w:t>
      </w:r>
    </w:p>
    <w:p>
      <w:pPr>
        <w:keepNext w:val="0"/>
        <w:keepLines w:val="0"/>
        <w:pageBreakBefore w:val="0"/>
        <w:widowControl w:val="0"/>
        <w:shd w:val="clear" w:color="auto" w:fill="FFFFFF"/>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名称：</w:t>
      </w:r>
      <w:r>
        <w:rPr>
          <w:rFonts w:hint="eastAsia" w:ascii="宋体" w:hAnsi="宋体" w:cs="宋体"/>
          <w:color w:val="auto"/>
          <w:spacing w:val="0"/>
          <w:sz w:val="24"/>
          <w:szCs w:val="24"/>
          <w:lang w:eastAsia="zh-CN"/>
        </w:rPr>
        <w:t>启东市汇龙镇人民政府</w:t>
      </w:r>
    </w:p>
    <w:p>
      <w:pPr>
        <w:keepNext w:val="0"/>
        <w:keepLines w:val="0"/>
        <w:pageBreakBefore w:val="0"/>
        <w:widowControl w:val="0"/>
        <w:shd w:val="clear" w:color="auto" w:fill="FFFFFF"/>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地址：</w:t>
      </w:r>
      <w:r>
        <w:rPr>
          <w:rFonts w:hint="eastAsia" w:ascii="宋体" w:hAnsi="宋体" w:cs="宋体"/>
          <w:color w:val="auto"/>
          <w:spacing w:val="0"/>
          <w:sz w:val="24"/>
          <w:szCs w:val="24"/>
          <w:lang w:eastAsia="zh-CN"/>
        </w:rPr>
        <w:t>启东市汇龙镇人民政府</w:t>
      </w:r>
    </w:p>
    <w:p>
      <w:pPr>
        <w:keepNext w:val="0"/>
        <w:keepLines w:val="0"/>
        <w:pageBreakBefore w:val="0"/>
        <w:widowControl w:val="0"/>
        <w:shd w:val="clear" w:color="auto" w:fill="FFFFFF"/>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联系人：</w:t>
      </w:r>
      <w:r>
        <w:rPr>
          <w:rFonts w:hint="eastAsia" w:ascii="宋体" w:hAnsi="宋体" w:cs="宋体"/>
          <w:color w:val="auto"/>
          <w:spacing w:val="0"/>
          <w:sz w:val="24"/>
          <w:szCs w:val="24"/>
          <w:lang w:val="en-US" w:eastAsia="zh-CN"/>
        </w:rPr>
        <w:t>沙先生</w:t>
      </w:r>
      <w:r>
        <w:rPr>
          <w:rFonts w:hint="eastAsia" w:ascii="宋体" w:hAnsi="宋体" w:eastAsia="宋体" w:cs="宋体"/>
          <w:color w:val="auto"/>
          <w:spacing w:val="0"/>
          <w:sz w:val="24"/>
          <w:szCs w:val="24"/>
        </w:rPr>
        <w:t xml:space="preserve"> 0513-83116061　　</w:t>
      </w:r>
    </w:p>
    <w:p>
      <w:pPr>
        <w:keepNext w:val="0"/>
        <w:keepLines w:val="0"/>
        <w:pageBreakBefore w:val="0"/>
        <w:widowControl w:val="0"/>
        <w:shd w:val="clear" w:color="auto" w:fill="FFFFFF"/>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2.代理机构信息</w:t>
      </w:r>
    </w:p>
    <w:p>
      <w:pPr>
        <w:keepNext w:val="0"/>
        <w:keepLines w:val="0"/>
        <w:pageBreakBefore w:val="0"/>
        <w:widowControl w:val="0"/>
        <w:shd w:val="clear" w:color="auto" w:fill="FFFFFF"/>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名称：</w:t>
      </w:r>
      <w:r>
        <w:rPr>
          <w:rFonts w:hint="eastAsia" w:ascii="宋体" w:hAnsi="宋体" w:eastAsia="宋体" w:cs="宋体"/>
          <w:color w:val="auto"/>
          <w:spacing w:val="0"/>
          <w:sz w:val="24"/>
          <w:szCs w:val="24"/>
          <w:lang w:eastAsia="zh-CN"/>
        </w:rPr>
        <w:t>东方华星建设管理（江苏）有限公司</w:t>
      </w:r>
    </w:p>
    <w:p>
      <w:pPr>
        <w:keepNext w:val="0"/>
        <w:keepLines w:val="0"/>
        <w:pageBreakBefore w:val="0"/>
        <w:widowControl w:val="0"/>
        <w:shd w:val="clear" w:color="auto" w:fill="FFFFFF"/>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地址：启东市汇龙镇南苑中路297 号　</w:t>
      </w:r>
    </w:p>
    <w:p>
      <w:pPr>
        <w:keepNext w:val="0"/>
        <w:keepLines w:val="0"/>
        <w:pageBreakBefore w:val="0"/>
        <w:widowControl w:val="0"/>
        <w:shd w:val="clear" w:color="auto" w:fill="FFFFFF"/>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联系方式：卫佳丽18106295192 </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 xml:space="preserve">戚小辉0513-89000706 </w:t>
      </w:r>
      <w:bookmarkEnd w:id="0"/>
      <w:bookmarkEnd w:id="34"/>
      <w:bookmarkEnd w:id="35"/>
      <w:bookmarkEnd w:id="36"/>
      <w:bookmarkEnd w:id="37"/>
    </w:p>
    <w:bookmarkEnd w:id="79"/>
    <w:p>
      <w:pPr>
        <w:spacing w:line="480" w:lineRule="exact"/>
        <w:ind w:firstLine="480" w:firstLineChars="200"/>
        <w:jc w:val="center"/>
        <w:rPr>
          <w:rFonts w:hint="eastAsia" w:ascii="宋体" w:hAnsi="宋体" w:eastAsia="宋体" w:cs="宋体"/>
          <w:color w:val="auto"/>
          <w:w w:val="80"/>
          <w:sz w:val="24"/>
          <w:szCs w:val="24"/>
        </w:rPr>
      </w:pPr>
      <w:bookmarkStart w:id="38" w:name="_Toc11554639"/>
      <w:bookmarkStart w:id="39" w:name="_Toc94585340"/>
      <w:bookmarkStart w:id="40" w:name="_Toc8895739"/>
      <w:bookmarkStart w:id="41" w:name="_Toc521203418"/>
      <w:bookmarkStart w:id="42" w:name="_Toc12670503"/>
      <w:bookmarkStart w:id="43" w:name="_Toc94544744"/>
      <w:bookmarkStart w:id="44" w:name="_Toc521201597"/>
      <w:bookmarkStart w:id="45" w:name="_Toc94544828"/>
      <w:bookmarkStart w:id="46" w:name="_Toc11500280"/>
      <w:bookmarkStart w:id="47" w:name="_Toc11499584"/>
      <w:bookmarkStart w:id="48" w:name="_Toc363573854"/>
      <w:r>
        <w:rPr>
          <w:rFonts w:hint="eastAsia" w:ascii="宋体" w:hAnsi="宋体" w:eastAsia="宋体" w:cs="宋体"/>
          <w:color w:val="auto"/>
          <w:sz w:val="24"/>
          <w:szCs w:val="24"/>
        </w:rPr>
        <w:br w:type="page"/>
      </w:r>
      <w:r>
        <w:rPr>
          <w:rFonts w:hint="eastAsia" w:ascii="宋体" w:hAnsi="宋体" w:eastAsia="宋体" w:cs="宋体"/>
          <w:b/>
          <w:bCs/>
          <w:color w:val="auto"/>
          <w:w w:val="80"/>
          <w:sz w:val="36"/>
          <w:szCs w:val="36"/>
        </w:rPr>
        <w:t>第二章</w:t>
      </w:r>
      <w:bookmarkEnd w:id="38"/>
      <w:bookmarkEnd w:id="39"/>
      <w:bookmarkEnd w:id="40"/>
      <w:bookmarkEnd w:id="41"/>
      <w:bookmarkEnd w:id="42"/>
      <w:bookmarkEnd w:id="43"/>
      <w:bookmarkEnd w:id="44"/>
      <w:bookmarkEnd w:id="45"/>
      <w:bookmarkEnd w:id="46"/>
      <w:bookmarkEnd w:id="47"/>
      <w:r>
        <w:rPr>
          <w:rFonts w:hint="eastAsia" w:ascii="宋体" w:hAnsi="宋体" w:eastAsia="宋体" w:cs="宋体"/>
          <w:b/>
          <w:bCs/>
          <w:color w:val="auto"/>
          <w:w w:val="80"/>
          <w:sz w:val="36"/>
          <w:szCs w:val="36"/>
        </w:rPr>
        <w:t>磋商供应商须知</w:t>
      </w:r>
      <w:bookmarkEnd w:id="48"/>
    </w:p>
    <w:p>
      <w:pPr>
        <w:spacing w:line="480" w:lineRule="exact"/>
        <w:ind w:firstLine="480" w:firstLineChars="200"/>
        <w:outlineLvl w:val="1"/>
        <w:rPr>
          <w:rFonts w:hint="eastAsia" w:ascii="宋体" w:hAnsi="宋体" w:eastAsia="宋体" w:cs="宋体"/>
          <w:b/>
          <w:bCs/>
          <w:color w:val="auto"/>
          <w:sz w:val="24"/>
          <w:szCs w:val="24"/>
        </w:rPr>
      </w:pPr>
      <w:bookmarkStart w:id="49" w:name="_Toc11499585"/>
      <w:bookmarkStart w:id="50" w:name="_Toc94544745"/>
      <w:bookmarkStart w:id="51" w:name="_Toc521201598"/>
      <w:bookmarkStart w:id="52" w:name="_Toc8895740"/>
      <w:bookmarkStart w:id="53" w:name="_Toc12670504"/>
      <w:bookmarkStart w:id="54" w:name="_Toc11554640"/>
      <w:bookmarkStart w:id="55" w:name="_Toc94585341"/>
      <w:bookmarkStart w:id="56" w:name="_Toc94544871"/>
      <w:bookmarkStart w:id="57" w:name="_Toc521203419"/>
      <w:bookmarkStart w:id="58" w:name="_Toc11500281"/>
      <w:r>
        <w:rPr>
          <w:rFonts w:hint="eastAsia" w:ascii="宋体" w:hAnsi="宋体" w:eastAsia="宋体" w:cs="宋体"/>
          <w:b/>
          <w:bCs/>
          <w:color w:val="auto"/>
          <w:sz w:val="24"/>
          <w:szCs w:val="24"/>
        </w:rPr>
        <w:t>一、说明</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1.本竞争性磋商文件仅适用于东方华星建设管理（江苏）有限公司组织的竞争性磋商采购活动。</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2.竞争性磋商活动及因本次磋商产生的合同受中国法律制约和保护。</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3.竞争性磋商文件的解释权属于东方华星建设管理（江苏）有限公司。</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eastAsia="宋体" w:cs="宋体"/>
          <w:b/>
          <w:bCs/>
          <w:color w:val="auto"/>
          <w:sz w:val="24"/>
          <w:szCs w:val="24"/>
        </w:rPr>
        <w:t>非书面形式的不作为日后质疑提出的依据。</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pacing w:line="480" w:lineRule="exact"/>
        <w:ind w:firstLine="480"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二、磋商文件的澄清、修改、答疑</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1.代理机构有权对发出的磋商文件进行必要的澄清、修改或补充。</w:t>
      </w:r>
    </w:p>
    <w:p>
      <w:pPr>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2.磋商文件的澄清、修改、补充等内容均以书面明确的形式发布，并以</w:t>
      </w:r>
      <w:r>
        <w:rPr>
          <w:rFonts w:hint="eastAsia" w:ascii="宋体" w:hAnsi="宋体" w:cs="宋体"/>
          <w:color w:val="auto"/>
          <w:sz w:val="24"/>
          <w:szCs w:val="24"/>
          <w:lang w:eastAsia="zh-CN"/>
        </w:rPr>
        <w:t>启东市人民政府网</w:t>
      </w:r>
      <w:r>
        <w:rPr>
          <w:rFonts w:hint="eastAsia" w:ascii="宋体" w:hAnsi="宋体" w:eastAsia="宋体" w:cs="宋体"/>
          <w:color w:val="auto"/>
          <w:sz w:val="24"/>
          <w:szCs w:val="24"/>
        </w:rPr>
        <w:t>发布的信息为准。</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3.代理机构对磋商文件的澄清、修改将构成磋商文件的一部分，对响应磋商的供应商具有约束力。</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4.澄清或者修改的内容可能影响到响应文件编制的，代理机构将在提交响应文件接收截止之日5日前，发布澄清或者修改公告，不足5日的，应当顺延提交响应文件接收截止时间。</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5.除非代理机构以书面的形式对磋商文件作出澄清、修改及补充，供应商对涉及磋商文件的任何推论、理解和结论所造成的结果，均由供应商自负。</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6.采购单位视情组织答疑会。如有产生答疑且对磋商文件内容有修改，代理机构将按照本须知有关规定，以补充通知（公告）的方式发出。</w:t>
      </w:r>
    </w:p>
    <w:p>
      <w:pPr>
        <w:spacing w:line="480" w:lineRule="exact"/>
        <w:ind w:firstLine="480"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三、响应文件的编制及装订</w:t>
      </w:r>
    </w:p>
    <w:p>
      <w:pPr>
        <w:spacing w:line="480" w:lineRule="exact"/>
        <w:ind w:firstLine="480"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spacing w:line="480" w:lineRule="exact"/>
        <w:ind w:firstLine="480"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四、响应文件的份数和签署</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1.响应文件由：</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资格审查文件、</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技术响应文件、</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3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③</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商务报价响应文件</w:t>
      </w:r>
      <w:r>
        <w:rPr>
          <w:rFonts w:hint="eastAsia" w:ascii="宋体" w:hAnsi="宋体" w:cs="宋体"/>
          <w:color w:val="auto"/>
          <w:sz w:val="24"/>
          <w:szCs w:val="24"/>
          <w:lang w:eastAsia="zh-CN"/>
        </w:rPr>
        <w:t>、④电子响应文件</w:t>
      </w:r>
      <w:r>
        <w:rPr>
          <w:rFonts w:hint="eastAsia" w:ascii="宋体" w:hAnsi="宋体" w:eastAsia="宋体" w:cs="宋体"/>
          <w:color w:val="auto"/>
          <w:sz w:val="24"/>
          <w:szCs w:val="24"/>
        </w:rPr>
        <w:t>，共</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部分组成（以下由文件序号代称）。</w:t>
      </w:r>
    </w:p>
    <w:p>
      <w:pPr>
        <w:spacing w:line="48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纸质</w:t>
      </w:r>
      <w:r>
        <w:rPr>
          <w:rFonts w:hint="eastAsia" w:ascii="宋体" w:hAnsi="宋体" w:eastAsia="宋体" w:cs="宋体"/>
          <w:color w:val="auto"/>
          <w:sz w:val="24"/>
          <w:szCs w:val="24"/>
        </w:rPr>
        <w:t>响应文件</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3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③</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均为一式三份，其中“正本”壹份和“副本”两份。电子响应文件一份，电子响应文件的内容为“资格审查文件、技术响应文件、商务报价响应文件”的打印盖章或电子签章后的响应文件的扫描件（资格审查文件、技术响应文件、商务报价响应文件需分别逐页连续扫描为三个独立的PDF文件），采取U盘方式单独密封提交。</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3.在每份响应文件上要明确标注项目名称、对应的响应文件名称、供应商的全称、日期、“正本”、“副本”字样。“正本”和“副本”若有差异，概以“正本”为准。</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auto"/>
          <w:sz w:val="24"/>
          <w:szCs w:val="24"/>
          <w:lang w:val="en-US" w:eastAsia="zh-CN"/>
        </w:rPr>
        <w:t>纸质</w:t>
      </w:r>
      <w:r>
        <w:rPr>
          <w:rFonts w:hint="eastAsia" w:ascii="宋体" w:hAnsi="宋体" w:eastAsia="宋体" w:cs="宋体"/>
          <w:color w:val="auto"/>
          <w:sz w:val="24"/>
          <w:szCs w:val="24"/>
        </w:rPr>
        <w:t>响应文件中的所有“正本”，其正文内容须按磋商文件要求由供应商法定代表人或被授权人签字（或盖章）并加盖单位公章。“副本”可复印，但须加盖单位公章。</w:t>
      </w:r>
    </w:p>
    <w:p>
      <w:pPr>
        <w:spacing w:line="480" w:lineRule="exact"/>
        <w:ind w:firstLine="480"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五、响应文件的密封及标记</w:t>
      </w:r>
    </w:p>
    <w:p>
      <w:pPr>
        <w:spacing w:line="48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1.供应商须将本项目响应文件：</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、③</w:t>
      </w:r>
      <w:r>
        <w:rPr>
          <w:rFonts w:hint="eastAsia" w:ascii="宋体" w:hAnsi="宋体" w:cs="宋体"/>
          <w:color w:val="auto"/>
          <w:sz w:val="24"/>
          <w:szCs w:val="24"/>
          <w:lang w:eastAsia="zh-CN"/>
        </w:rPr>
        <w:t>、④</w:t>
      </w:r>
      <w:r>
        <w:rPr>
          <w:rFonts w:hint="eastAsia" w:ascii="宋体" w:hAnsi="宋体" w:eastAsia="宋体" w:cs="宋体"/>
          <w:b/>
          <w:bCs/>
          <w:color w:val="auto"/>
          <w:sz w:val="24"/>
          <w:szCs w:val="24"/>
        </w:rPr>
        <w:t>单独密封</w:t>
      </w:r>
      <w:r>
        <w:rPr>
          <w:rFonts w:hint="eastAsia" w:ascii="宋体" w:hAnsi="宋体" w:eastAsia="宋体" w:cs="宋体"/>
          <w:color w:val="auto"/>
          <w:sz w:val="24"/>
          <w:szCs w:val="24"/>
        </w:rPr>
        <w:t>。</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2.密封后，应在每一密封的响应文件上明确标注磋商项目名称、响应文件各自对应的名称、供应商的全称及日期。</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3.在边缝处加盖供应商公章或骑缝签字。</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【特别提醒】</w:t>
      </w:r>
      <w:r>
        <w:rPr>
          <w:rFonts w:hint="eastAsia" w:ascii="宋体" w:hAnsi="宋体" w:eastAsia="宋体" w:cs="宋体"/>
          <w:color w:val="auto"/>
          <w:sz w:val="24"/>
          <w:szCs w:val="24"/>
        </w:rPr>
        <w:t>响应文件中的</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和</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的“正本”或“副本”中，均不得含有商务报价响应文件中报价表（报价单）内的任何项目价格，否则作无效投标处理。</w:t>
      </w:r>
    </w:p>
    <w:p>
      <w:pPr>
        <w:spacing w:line="480" w:lineRule="exact"/>
        <w:ind w:firstLine="480"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六、磋商报价</w:t>
      </w:r>
    </w:p>
    <w:p>
      <w:pPr>
        <w:snapToGrid/>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本项目不接受任何有选择的报价。</w:t>
      </w:r>
    </w:p>
    <w:p>
      <w:pPr>
        <w:snapToGrid/>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eastAsia="zh-CN"/>
        </w:rPr>
        <w:t>.</w:t>
      </w:r>
      <w:r>
        <w:rPr>
          <w:rFonts w:hint="eastAsia" w:ascii="宋体" w:hAnsi="宋体" w:eastAsia="宋体" w:cs="宋体"/>
          <w:color w:val="auto"/>
          <w:sz w:val="24"/>
          <w:szCs w:val="24"/>
        </w:rPr>
        <w:t>磋商报价表必须加盖单位公章且必须经法定代表人或被授权人签字或盖章。报价表中的大写金额与小写金额不一致的以大写金额为准、总价金额与按单价汇总金额不一致的以单价金额计算结果为准。</w:t>
      </w:r>
    </w:p>
    <w:p>
      <w:pPr>
        <w:snapToGrid/>
        <w:spacing w:line="48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磋商报价应包括完成</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要求范围内所确定内容的全部费用，包括但不限于本项目所有服务人员的工资、劳保费、福利费、培训费、交通费、</w:t>
      </w:r>
      <w:r>
        <w:rPr>
          <w:rFonts w:hint="eastAsia" w:ascii="宋体" w:hAnsi="宋体" w:eastAsia="宋体" w:cs="宋体"/>
          <w:color w:val="auto"/>
          <w:sz w:val="24"/>
          <w:szCs w:val="24"/>
          <w:lang w:val="en-US" w:eastAsia="zh-CN"/>
        </w:rPr>
        <w:t>餐费、</w:t>
      </w:r>
      <w:r>
        <w:rPr>
          <w:rFonts w:hint="eastAsia" w:ascii="宋体" w:hAnsi="宋体" w:eastAsia="宋体" w:cs="宋体"/>
          <w:color w:val="auto"/>
          <w:sz w:val="24"/>
          <w:szCs w:val="24"/>
        </w:rPr>
        <w:t>设备成本、维护费、</w:t>
      </w:r>
      <w:r>
        <w:rPr>
          <w:rFonts w:hint="eastAsia" w:ascii="宋体" w:hAnsi="宋体" w:eastAsia="宋体" w:cs="宋体"/>
          <w:color w:val="auto"/>
          <w:sz w:val="24"/>
          <w:szCs w:val="24"/>
          <w:lang w:val="en-US" w:eastAsia="zh-CN"/>
        </w:rPr>
        <w:t>进出场费、</w:t>
      </w:r>
      <w:r>
        <w:rPr>
          <w:rFonts w:hint="eastAsia" w:ascii="宋体" w:hAnsi="宋体" w:eastAsia="宋体" w:cs="宋体"/>
          <w:color w:val="auto"/>
          <w:sz w:val="24"/>
          <w:szCs w:val="24"/>
        </w:rPr>
        <w:t>通讯费、各项保险和基金、服务工具、管理费、利润及税金等所有费用，</w:t>
      </w:r>
      <w:r>
        <w:rPr>
          <w:rFonts w:hint="eastAsia" w:ascii="宋体" w:hAnsi="宋体" w:eastAsia="宋体" w:cs="宋体"/>
          <w:color w:val="auto"/>
          <w:sz w:val="24"/>
          <w:szCs w:val="24"/>
          <w:lang w:eastAsia="zh-CN"/>
        </w:rPr>
        <w:t>即为完成本项目所必须的其他辅助工作的相关费用及磋商文件要求的一切费用</w:t>
      </w:r>
      <w:r>
        <w:rPr>
          <w:rFonts w:hint="eastAsia" w:ascii="宋体" w:hAnsi="宋体" w:eastAsia="宋体" w:cs="宋体"/>
          <w:color w:val="auto"/>
          <w:sz w:val="24"/>
          <w:szCs w:val="24"/>
        </w:rPr>
        <w:t>。</w:t>
      </w:r>
    </w:p>
    <w:p>
      <w:pPr>
        <w:snapToGrid/>
        <w:spacing w:line="48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本次磋商为两轮报价，磋商的最终报价为成交价，同时，成交供应商的成交价在合同实施期间不因市场变化因素而变动</w:t>
      </w:r>
      <w:r>
        <w:rPr>
          <w:rFonts w:hint="eastAsia" w:ascii="宋体" w:hAnsi="宋体" w:eastAsia="宋体" w:cs="宋体"/>
          <w:color w:val="auto"/>
          <w:sz w:val="24"/>
          <w:szCs w:val="24"/>
          <w:lang w:eastAsia="zh-CN"/>
        </w:rPr>
        <w:t>。</w:t>
      </w:r>
    </w:p>
    <w:p>
      <w:pPr>
        <w:spacing w:line="480" w:lineRule="exact"/>
        <w:ind w:firstLine="480" w:firstLineChars="200"/>
        <w:outlineLvl w:val="9"/>
        <w:rPr>
          <w:rFonts w:hint="eastAsia" w:ascii="宋体" w:hAnsi="宋体" w:eastAsia="宋体" w:cs="宋体"/>
          <w:b w:val="0"/>
          <w:bCs w:val="0"/>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pacing w:line="480" w:lineRule="exact"/>
        <w:ind w:firstLine="480"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七、联合体参与磋商</w:t>
      </w:r>
    </w:p>
    <w:p>
      <w:pPr>
        <w:spacing w:line="480" w:lineRule="exact"/>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rPr>
        <w:t>不接受任何形式的联合体参与本项目的竞争性磋商。</w:t>
      </w:r>
    </w:p>
    <w:p>
      <w:pPr>
        <w:spacing w:line="480" w:lineRule="exact"/>
        <w:ind w:firstLine="480" w:firstLineChars="200"/>
        <w:outlineLvl w:val="1"/>
        <w:rPr>
          <w:rFonts w:hint="eastAsia" w:ascii="宋体" w:hAnsi="宋体" w:eastAsia="宋体" w:cs="宋体"/>
          <w:color w:val="auto"/>
          <w:sz w:val="24"/>
          <w:szCs w:val="24"/>
        </w:rPr>
      </w:pPr>
      <w:r>
        <w:rPr>
          <w:rFonts w:hint="eastAsia" w:ascii="宋体" w:hAnsi="宋体" w:eastAsia="宋体" w:cs="宋体"/>
          <w:b/>
          <w:bCs/>
          <w:color w:val="auto"/>
          <w:sz w:val="24"/>
          <w:szCs w:val="24"/>
        </w:rPr>
        <w:t>八、响应文件及</w:t>
      </w:r>
      <w:r>
        <w:rPr>
          <w:rFonts w:hint="eastAsia" w:ascii="宋体" w:hAnsi="宋体" w:eastAsia="宋体" w:cs="宋体"/>
          <w:b/>
          <w:bCs/>
          <w:color w:val="auto"/>
          <w:kern w:val="0"/>
          <w:sz w:val="24"/>
          <w:szCs w:val="24"/>
        </w:rPr>
        <w:t>磋商</w:t>
      </w:r>
      <w:r>
        <w:rPr>
          <w:rFonts w:hint="eastAsia" w:ascii="宋体" w:hAnsi="宋体" w:eastAsia="宋体" w:cs="宋体"/>
          <w:b/>
          <w:bCs/>
          <w:color w:val="auto"/>
          <w:sz w:val="24"/>
          <w:szCs w:val="24"/>
        </w:rPr>
        <w:t>费用</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1.磋商程序顺利进行后，除供应商的原件可退回外，其余所有的响应文件都将作为档案保存，不论成交与否，代理机构均不退回（未拆封的除外）。</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2.无论磋商过程和结果如何，参加项目磋商的供应商自行承担与本次项目磋商有关的全部费用。</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3.本项目磋商文件费300元，在开标现场支付给代理机构，无论成交与否不予退还。</w:t>
      </w:r>
    </w:p>
    <w:p>
      <w:pPr>
        <w:spacing w:line="48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本项目</w:t>
      </w:r>
      <w:r>
        <w:rPr>
          <w:rFonts w:hint="eastAsia" w:ascii="宋体" w:hAnsi="宋体" w:eastAsia="宋体" w:cs="宋体"/>
          <w:color w:val="auto"/>
          <w:sz w:val="24"/>
          <w:szCs w:val="24"/>
          <w:lang w:val="en-US" w:eastAsia="zh-CN"/>
        </w:rPr>
        <w:t>代理服务费及评审费由采购人支付，供应商无须考虑。</w:t>
      </w:r>
    </w:p>
    <w:bookmarkEnd w:id="49"/>
    <w:bookmarkEnd w:id="50"/>
    <w:bookmarkEnd w:id="51"/>
    <w:bookmarkEnd w:id="52"/>
    <w:bookmarkEnd w:id="53"/>
    <w:bookmarkEnd w:id="54"/>
    <w:bookmarkEnd w:id="55"/>
    <w:bookmarkEnd w:id="56"/>
    <w:bookmarkEnd w:id="57"/>
    <w:bookmarkEnd w:id="58"/>
    <w:p>
      <w:pPr>
        <w:numPr>
          <w:ilvl w:val="0"/>
          <w:numId w:val="3"/>
        </w:numPr>
        <w:adjustRightInd w:val="0"/>
        <w:snapToGrid w:val="0"/>
        <w:spacing w:line="480" w:lineRule="exact"/>
        <w:ind w:firstLine="480" w:firstLineChars="200"/>
        <w:outlineLvl w:val="0"/>
        <w:rPr>
          <w:rFonts w:hint="eastAsia" w:ascii="宋体" w:hAnsi="宋体" w:eastAsia="宋体" w:cs="宋体"/>
          <w:b/>
          <w:bCs/>
          <w:color w:val="auto"/>
          <w:sz w:val="24"/>
          <w:highlight w:val="none"/>
          <w:lang w:val="zh-CN"/>
        </w:rPr>
      </w:pPr>
      <w:bookmarkStart w:id="59" w:name="_Toc12670505"/>
      <w:bookmarkStart w:id="60" w:name="_Toc11554641"/>
      <w:bookmarkStart w:id="61" w:name="_Toc11499586"/>
      <w:bookmarkStart w:id="62" w:name="_Toc521201599"/>
      <w:bookmarkStart w:id="63" w:name="_Toc94544872"/>
      <w:bookmarkStart w:id="64" w:name="_Toc363573856"/>
      <w:bookmarkStart w:id="65" w:name="_Toc8895741"/>
      <w:bookmarkStart w:id="66" w:name="_Toc94544746"/>
      <w:bookmarkStart w:id="67" w:name="_Toc94585342"/>
      <w:bookmarkStart w:id="68" w:name="_Toc11500282"/>
      <w:bookmarkStart w:id="69" w:name="_Toc13803483"/>
      <w:bookmarkStart w:id="70" w:name="_Toc521203420"/>
      <w:r>
        <w:rPr>
          <w:rFonts w:hint="eastAsia" w:ascii="宋体" w:hAnsi="宋体" w:eastAsia="宋体" w:cs="宋体"/>
          <w:b/>
          <w:bCs/>
          <w:color w:val="auto"/>
          <w:sz w:val="24"/>
          <w:highlight w:val="none"/>
          <w:lang w:val="zh-CN"/>
        </w:rPr>
        <w:t>履约保证金</w:t>
      </w:r>
    </w:p>
    <w:p>
      <w:pPr>
        <w:numPr>
          <w:ilvl w:val="-1"/>
          <w:numId w:val="0"/>
        </w:numPr>
        <w:adjustRightInd w:val="0"/>
        <w:snapToGrid w:val="0"/>
        <w:spacing w:line="48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1.本项目成交后的履约保证金为</w:t>
      </w:r>
      <w:r>
        <w:rPr>
          <w:rFonts w:hint="eastAsia" w:ascii="宋体" w:hAnsi="宋体" w:cs="宋体"/>
          <w:color w:val="auto"/>
          <w:kern w:val="0"/>
          <w:sz w:val="24"/>
          <w:highlight w:val="none"/>
          <w:lang w:val="en-US" w:eastAsia="zh-CN"/>
        </w:rPr>
        <w:t>成交价的10%</w:t>
      </w:r>
      <w:r>
        <w:rPr>
          <w:rFonts w:hint="eastAsia" w:ascii="宋体" w:hAnsi="宋体" w:eastAsia="宋体" w:cs="宋体"/>
          <w:color w:val="auto"/>
          <w:kern w:val="0"/>
          <w:sz w:val="24"/>
          <w:highlight w:val="none"/>
        </w:rPr>
        <w:t>。</w:t>
      </w:r>
    </w:p>
    <w:p>
      <w:pPr>
        <w:adjustRightInd w:val="0"/>
        <w:snapToGrid w:val="0"/>
        <w:spacing w:line="48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2.成交供应商的履约保证金须在采购代理</w:t>
      </w:r>
      <w:r>
        <w:rPr>
          <w:rFonts w:hint="eastAsia" w:ascii="宋体" w:hAnsi="宋体" w:cs="宋体"/>
          <w:color w:val="auto"/>
          <w:kern w:val="0"/>
          <w:sz w:val="24"/>
          <w:highlight w:val="none"/>
          <w:lang w:val="en-US" w:eastAsia="zh-CN"/>
        </w:rPr>
        <w:t>机构</w:t>
      </w:r>
      <w:r>
        <w:rPr>
          <w:rFonts w:hint="eastAsia" w:ascii="宋体" w:hAnsi="宋体" w:eastAsia="宋体" w:cs="宋体"/>
          <w:color w:val="auto"/>
          <w:kern w:val="0"/>
          <w:sz w:val="24"/>
          <w:highlight w:val="none"/>
        </w:rPr>
        <w:t>发出成交通知书之日起10个工作日内汇入采购单位账户（应当以数字人民币、支票、汇票或者金融机构、担保机构出具的保函等非现金形式提交），成交供应商凭“成交通知书”和已经汇至采购单位账上的“履约保证金”凭证，并在采购代理</w:t>
      </w:r>
      <w:r>
        <w:rPr>
          <w:rFonts w:hint="eastAsia" w:ascii="宋体" w:hAnsi="宋体" w:cs="宋体"/>
          <w:color w:val="auto"/>
          <w:kern w:val="0"/>
          <w:sz w:val="24"/>
          <w:highlight w:val="none"/>
          <w:lang w:val="en-US" w:eastAsia="zh-CN"/>
        </w:rPr>
        <w:t>机构</w:t>
      </w:r>
      <w:r>
        <w:rPr>
          <w:rFonts w:hint="eastAsia" w:ascii="宋体" w:hAnsi="宋体" w:eastAsia="宋体" w:cs="宋体"/>
          <w:color w:val="auto"/>
          <w:kern w:val="0"/>
          <w:sz w:val="24"/>
          <w:highlight w:val="none"/>
        </w:rPr>
        <w:t>发出成交通知书之日起30日内与采购单位签订合同。超期则视为自动放弃成交资格。</w:t>
      </w:r>
    </w:p>
    <w:p>
      <w:pPr>
        <w:adjustRightInd w:val="0"/>
        <w:snapToGrid w:val="0"/>
        <w:spacing w:line="48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3.成交供应商在按要求保质保量的完成该项目合同并通过验收后，采购单位凭成交供应商提交的申请，一次性无息退还该合同项目的履约保证金。</w:t>
      </w:r>
    </w:p>
    <w:p>
      <w:pPr>
        <w:spacing w:line="480" w:lineRule="exact"/>
        <w:ind w:firstLine="480" w:firstLineChars="200"/>
        <w:jc w:val="left"/>
        <w:rPr>
          <w:rFonts w:hint="eastAsia" w:ascii="宋体" w:hAnsi="宋体" w:eastAsia="宋体" w:cs="宋体"/>
          <w:b/>
          <w:bCs/>
          <w:color w:val="auto"/>
          <w:w w:val="80"/>
          <w:sz w:val="24"/>
          <w:szCs w:val="24"/>
        </w:rPr>
      </w:pPr>
      <w:r>
        <w:rPr>
          <w:rFonts w:hint="eastAsia" w:ascii="宋体" w:hAnsi="宋体" w:eastAsia="宋体" w:cs="宋体"/>
          <w:color w:val="auto"/>
          <w:kern w:val="0"/>
          <w:sz w:val="24"/>
          <w:highlight w:val="none"/>
        </w:rPr>
        <w:t>4.由于成交供应商原因，在签订合同后出现不按合同履行的情况，采购单位有权将履约保证金作为违约金，全额不予退还，同时采购单位亦有权终止合同，成交供应商还须承担相应的法律赔偿责任。</w:t>
      </w:r>
    </w:p>
    <w:p>
      <w:pPr>
        <w:spacing w:line="480" w:lineRule="exact"/>
        <w:jc w:val="left"/>
        <w:rPr>
          <w:rFonts w:hint="eastAsia" w:ascii="宋体" w:hAnsi="宋体" w:eastAsia="宋体" w:cs="宋体"/>
          <w:b/>
          <w:bCs/>
          <w:color w:val="auto"/>
          <w:w w:val="80"/>
          <w:sz w:val="24"/>
          <w:szCs w:val="24"/>
        </w:rPr>
      </w:pPr>
      <w:r>
        <w:rPr>
          <w:rFonts w:hint="eastAsia" w:ascii="宋体" w:hAnsi="宋体" w:eastAsia="宋体" w:cs="宋体"/>
          <w:b/>
          <w:bCs/>
          <w:color w:val="auto"/>
          <w:w w:val="80"/>
          <w:sz w:val="24"/>
          <w:szCs w:val="24"/>
        </w:rPr>
        <w:br w:type="page"/>
      </w:r>
    </w:p>
    <w:p>
      <w:pPr>
        <w:spacing w:line="480" w:lineRule="exact"/>
        <w:ind w:firstLine="577" w:firstLineChars="200"/>
        <w:jc w:val="center"/>
        <w:rPr>
          <w:rFonts w:hint="eastAsia" w:ascii="宋体" w:hAnsi="宋体" w:eastAsia="宋体" w:cs="宋体"/>
          <w:color w:val="auto"/>
          <w:sz w:val="36"/>
          <w:szCs w:val="36"/>
        </w:rPr>
      </w:pPr>
      <w:r>
        <w:rPr>
          <w:rFonts w:hint="eastAsia" w:ascii="宋体" w:hAnsi="宋体" w:eastAsia="宋体" w:cs="宋体"/>
          <w:b/>
          <w:bCs/>
          <w:color w:val="auto"/>
          <w:w w:val="80"/>
          <w:sz w:val="36"/>
          <w:szCs w:val="36"/>
        </w:rPr>
        <w:t>第三章项目需求</w:t>
      </w:r>
    </w:p>
    <w:bookmarkEnd w:id="59"/>
    <w:bookmarkEnd w:id="60"/>
    <w:bookmarkEnd w:id="61"/>
    <w:bookmarkEnd w:id="62"/>
    <w:bookmarkEnd w:id="63"/>
    <w:bookmarkEnd w:id="64"/>
    <w:bookmarkEnd w:id="65"/>
    <w:bookmarkEnd w:id="66"/>
    <w:bookmarkEnd w:id="67"/>
    <w:bookmarkEnd w:id="68"/>
    <w:bookmarkEnd w:id="69"/>
    <w:bookmarkEnd w:id="70"/>
    <w:p>
      <w:pPr>
        <w:pStyle w:val="158"/>
        <w:snapToGrid w:val="0"/>
        <w:spacing w:line="48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请供应商在网上报名前和制作相应文件时仔细研究项目需求说明。</w:t>
      </w:r>
      <w:r>
        <w:rPr>
          <w:rFonts w:hint="eastAsia" w:ascii="宋体" w:hAnsi="宋体" w:eastAsia="宋体" w:cs="宋体"/>
          <w:color w:val="auto"/>
          <w:kern w:val="0"/>
          <w:sz w:val="24"/>
          <w:szCs w:val="24"/>
          <w:highlight w:val="none"/>
          <w:lang w:val="zh-CN"/>
        </w:rPr>
        <w:t>供应商不能简单照搬照抄采购人项目需求说明中的技术、商务要求，必须作实事求是的响应。如照搬照抄项目需求说明中的技术、商务要求的，成交供应商在同采购人签订合同和履约环节中不得提出异议，一切后果和损失由成交供应商承担。如供应商提供的货物和服务同采购人提出的项目需求说明中的技术、商务要求不同的，必须在《商务部分正负偏离表》和《技术部分正负偏离表》上明示，如不明示的视同完全响应。</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zh-CN" w:eastAsia="zh-CN"/>
        </w:rPr>
        <w:t>1、</w:t>
      </w:r>
      <w:r>
        <w:rPr>
          <w:rFonts w:hint="eastAsia" w:ascii="宋体" w:hAnsi="宋体" w:eastAsia="宋体" w:cs="宋体"/>
          <w:b/>
          <w:bCs/>
          <w:color w:val="auto"/>
          <w:kern w:val="0"/>
          <w:sz w:val="24"/>
          <w:szCs w:val="24"/>
          <w:highlight w:val="none"/>
          <w:lang w:val="zh-CN"/>
        </w:rPr>
        <w:t>技术服务的</w:t>
      </w:r>
      <w:r>
        <w:rPr>
          <w:rFonts w:hint="eastAsia" w:ascii="宋体" w:hAnsi="宋体" w:eastAsia="宋体" w:cs="宋体"/>
          <w:b/>
          <w:bCs/>
          <w:color w:val="auto"/>
          <w:kern w:val="0"/>
          <w:sz w:val="24"/>
          <w:szCs w:val="24"/>
          <w:highlight w:val="none"/>
          <w:lang w:val="zh-CN" w:eastAsia="zh-CN"/>
        </w:rPr>
        <w:t>内容</w:t>
      </w:r>
      <w:r>
        <w:rPr>
          <w:rFonts w:hint="eastAsia" w:ascii="宋体" w:hAnsi="宋体" w:eastAsia="宋体" w:cs="宋体"/>
          <w:b/>
          <w:bCs/>
          <w:color w:val="auto"/>
          <w:kern w:val="0"/>
          <w:sz w:val="24"/>
          <w:szCs w:val="24"/>
          <w:highlight w:val="none"/>
          <w:lang w:val="zh-CN"/>
        </w:rPr>
        <w:t>：</w:t>
      </w:r>
      <w:r>
        <w:rPr>
          <w:rFonts w:hint="eastAsia" w:ascii="宋体" w:hAnsi="宋体" w:eastAsia="宋体" w:cs="宋体"/>
          <w:color w:val="auto"/>
          <w:kern w:val="0"/>
          <w:sz w:val="24"/>
          <w:szCs w:val="24"/>
          <w:highlight w:val="none"/>
          <w:lang w:val="zh-CN" w:eastAsia="zh-CN"/>
        </w:rPr>
        <w:t>对汇龙镇属地</w:t>
      </w:r>
      <w:r>
        <w:rPr>
          <w:rFonts w:hint="eastAsia" w:ascii="宋体" w:hAnsi="宋体" w:cs="宋体"/>
          <w:color w:val="auto"/>
          <w:kern w:val="0"/>
          <w:sz w:val="24"/>
          <w:szCs w:val="24"/>
          <w:highlight w:val="none"/>
          <w:lang w:val="en-US" w:eastAsia="zh-CN"/>
        </w:rPr>
        <w:t>生产经营单位</w:t>
      </w:r>
      <w:r>
        <w:rPr>
          <w:rFonts w:hint="eastAsia" w:ascii="宋体" w:hAnsi="宋体" w:eastAsia="宋体" w:cs="宋体"/>
          <w:color w:val="auto"/>
          <w:kern w:val="0"/>
          <w:sz w:val="24"/>
          <w:szCs w:val="24"/>
          <w:highlight w:val="none"/>
          <w:lang w:val="zh-CN" w:eastAsia="zh-CN"/>
        </w:rPr>
        <w:t>进行专家安全技术服务。</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eastAsia="zh-CN"/>
        </w:rPr>
        <w:t>2、</w:t>
      </w:r>
      <w:r>
        <w:rPr>
          <w:rFonts w:hint="eastAsia" w:ascii="宋体" w:hAnsi="宋体" w:eastAsia="宋体" w:cs="宋体"/>
          <w:b/>
          <w:bCs/>
          <w:color w:val="auto"/>
          <w:kern w:val="0"/>
          <w:sz w:val="24"/>
          <w:szCs w:val="24"/>
          <w:highlight w:val="none"/>
          <w:lang w:val="zh-CN"/>
        </w:rPr>
        <w:t>技术服务的方式：</w:t>
      </w:r>
      <w:r>
        <w:rPr>
          <w:rFonts w:hint="eastAsia" w:ascii="宋体" w:hAnsi="宋体" w:eastAsia="宋体" w:cs="宋体"/>
          <w:color w:val="auto"/>
          <w:kern w:val="0"/>
          <w:sz w:val="24"/>
          <w:szCs w:val="24"/>
          <w:highlight w:val="none"/>
          <w:lang w:val="zh-CN"/>
        </w:rPr>
        <w:t>组织专业技术队伍全程开展技术服务，安排</w:t>
      </w:r>
      <w:r>
        <w:rPr>
          <w:rFonts w:hint="eastAsia" w:ascii="宋体" w:hAnsi="宋体" w:eastAsia="宋体" w:cs="宋体"/>
          <w:color w:val="auto"/>
          <w:kern w:val="0"/>
          <w:sz w:val="24"/>
          <w:szCs w:val="24"/>
          <w:highlight w:val="none"/>
          <w:lang w:val="zh-CN" w:eastAsia="zh-CN"/>
        </w:rPr>
        <w:t>专人</w:t>
      </w:r>
      <w:r>
        <w:rPr>
          <w:rFonts w:hint="eastAsia" w:ascii="宋体" w:hAnsi="宋体" w:eastAsia="宋体" w:cs="宋体"/>
          <w:color w:val="auto"/>
          <w:kern w:val="0"/>
          <w:sz w:val="24"/>
          <w:szCs w:val="24"/>
          <w:highlight w:val="none"/>
          <w:lang w:val="zh-CN"/>
        </w:rPr>
        <w:t>专职从事资料整理及网报工作，协助相关项目的质量验收。</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b/>
          <w:bCs/>
          <w:color w:val="auto"/>
          <w:kern w:val="0"/>
          <w:sz w:val="24"/>
          <w:highlight w:val="none"/>
          <w:lang w:val="zh-CN" w:eastAsia="zh-CN"/>
        </w:rPr>
      </w:pPr>
      <w:r>
        <w:rPr>
          <w:rFonts w:hint="eastAsia" w:ascii="宋体" w:hAnsi="宋体" w:eastAsia="宋体" w:cs="宋体"/>
          <w:b/>
          <w:bCs/>
          <w:color w:val="auto"/>
          <w:kern w:val="0"/>
          <w:sz w:val="24"/>
          <w:szCs w:val="24"/>
          <w:highlight w:val="none"/>
          <w:lang w:val="zh-CN" w:eastAsia="zh-CN"/>
        </w:rPr>
        <w:t>3、项目需求：</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（1）每月对汇龙镇属地</w:t>
      </w:r>
      <w:r>
        <w:rPr>
          <w:rFonts w:hint="eastAsia" w:ascii="宋体" w:hAnsi="宋体" w:cs="宋体"/>
          <w:color w:val="auto"/>
          <w:kern w:val="0"/>
          <w:sz w:val="24"/>
          <w:szCs w:val="24"/>
          <w:highlight w:val="none"/>
          <w:lang w:val="en-US" w:eastAsia="zh-CN"/>
        </w:rPr>
        <w:t>生产经营单位</w:t>
      </w:r>
      <w:r>
        <w:rPr>
          <w:rFonts w:hint="eastAsia" w:ascii="宋体" w:hAnsi="宋体" w:eastAsia="宋体" w:cs="宋体"/>
          <w:color w:val="auto"/>
          <w:kern w:val="0"/>
          <w:sz w:val="24"/>
          <w:szCs w:val="24"/>
          <w:highlight w:val="none"/>
          <w:lang w:val="zh-CN" w:eastAsia="zh-CN"/>
        </w:rPr>
        <w:t>进行安全</w:t>
      </w:r>
      <w:r>
        <w:rPr>
          <w:rFonts w:hint="eastAsia" w:ascii="宋体" w:hAnsi="宋体" w:cs="宋体"/>
          <w:color w:val="auto"/>
          <w:kern w:val="0"/>
          <w:sz w:val="24"/>
          <w:szCs w:val="24"/>
          <w:highlight w:val="none"/>
          <w:lang w:val="en-US" w:eastAsia="zh-CN"/>
        </w:rPr>
        <w:t>技术服务</w:t>
      </w:r>
      <w:r>
        <w:rPr>
          <w:rFonts w:hint="eastAsia" w:ascii="宋体" w:hAnsi="宋体" w:eastAsia="宋体" w:cs="宋体"/>
          <w:color w:val="auto"/>
          <w:kern w:val="0"/>
          <w:sz w:val="24"/>
          <w:szCs w:val="24"/>
          <w:highlight w:val="none"/>
          <w:lang w:val="zh-CN" w:eastAsia="zh-CN"/>
        </w:rPr>
        <w:t>，拿出检查方案，提出整改意见，并按照</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zh-CN" w:eastAsia="zh-CN"/>
        </w:rPr>
        <w:t>的要求进行汇总。若有特殊情况，应按采购人要求时间对生产经营单位进行</w:t>
      </w:r>
      <w:r>
        <w:rPr>
          <w:rFonts w:hint="eastAsia" w:ascii="宋体" w:hAnsi="宋体" w:cs="宋体"/>
          <w:color w:val="auto"/>
          <w:kern w:val="0"/>
          <w:sz w:val="24"/>
          <w:szCs w:val="24"/>
          <w:highlight w:val="none"/>
          <w:lang w:val="en-US" w:eastAsia="zh-CN"/>
        </w:rPr>
        <w:t>技术服务</w:t>
      </w:r>
      <w:r>
        <w:rPr>
          <w:rFonts w:hint="eastAsia" w:ascii="宋体" w:hAnsi="宋体" w:eastAsia="宋体" w:cs="宋体"/>
          <w:color w:val="auto"/>
          <w:kern w:val="0"/>
          <w:sz w:val="24"/>
          <w:szCs w:val="24"/>
          <w:highlight w:val="none"/>
          <w:lang w:val="zh-CN" w:eastAsia="zh-CN"/>
        </w:rPr>
        <w:t>。</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（2）每季度对</w:t>
      </w:r>
      <w:r>
        <w:rPr>
          <w:rFonts w:hint="eastAsia" w:ascii="宋体" w:hAnsi="宋体" w:eastAsia="宋体" w:cs="宋体"/>
          <w:color w:val="auto"/>
          <w:kern w:val="0"/>
          <w:sz w:val="24"/>
          <w:szCs w:val="24"/>
          <w:highlight w:val="none"/>
          <w:lang w:val="en-US" w:eastAsia="zh-CN"/>
        </w:rPr>
        <w:t>养老院、学校、医院、加油站、餐饮</w:t>
      </w:r>
      <w:r>
        <w:rPr>
          <w:rFonts w:hint="eastAsia" w:ascii="宋体" w:hAnsi="宋体" w:cs="宋体"/>
          <w:color w:val="auto"/>
          <w:kern w:val="0"/>
          <w:sz w:val="24"/>
          <w:szCs w:val="24"/>
          <w:highlight w:val="none"/>
          <w:lang w:val="en-US" w:eastAsia="zh-CN"/>
        </w:rPr>
        <w:t>、在建工地</w:t>
      </w:r>
      <w:r>
        <w:rPr>
          <w:rFonts w:hint="eastAsia" w:ascii="宋体" w:hAnsi="宋体" w:eastAsia="宋体" w:cs="宋体"/>
          <w:color w:val="auto"/>
          <w:kern w:val="0"/>
          <w:sz w:val="24"/>
          <w:szCs w:val="24"/>
          <w:highlight w:val="none"/>
          <w:lang w:val="en-US" w:eastAsia="zh-CN"/>
        </w:rPr>
        <w:t>等重点行业领域</w:t>
      </w:r>
      <w:r>
        <w:rPr>
          <w:rFonts w:hint="eastAsia" w:ascii="宋体" w:hAnsi="宋体" w:eastAsia="宋体" w:cs="宋体"/>
          <w:color w:val="auto"/>
          <w:kern w:val="0"/>
          <w:sz w:val="24"/>
          <w:szCs w:val="24"/>
          <w:highlight w:val="none"/>
          <w:lang w:val="zh-CN" w:eastAsia="zh-CN"/>
        </w:rPr>
        <w:t>进行安全</w:t>
      </w:r>
      <w:r>
        <w:rPr>
          <w:rFonts w:hint="eastAsia" w:ascii="宋体" w:hAnsi="宋体" w:cs="宋体"/>
          <w:color w:val="auto"/>
          <w:kern w:val="0"/>
          <w:sz w:val="24"/>
          <w:szCs w:val="24"/>
          <w:highlight w:val="none"/>
          <w:lang w:val="en-US" w:eastAsia="zh-CN"/>
        </w:rPr>
        <w:t>技术服务</w:t>
      </w:r>
      <w:r>
        <w:rPr>
          <w:rFonts w:hint="eastAsia" w:ascii="宋体" w:hAnsi="宋体" w:eastAsia="宋体" w:cs="宋体"/>
          <w:color w:val="auto"/>
          <w:kern w:val="0"/>
          <w:sz w:val="24"/>
          <w:szCs w:val="24"/>
          <w:highlight w:val="none"/>
          <w:lang w:val="zh-CN" w:eastAsia="zh-CN"/>
        </w:rPr>
        <w:t>，并按照</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zh-CN" w:eastAsia="zh-CN"/>
        </w:rPr>
        <w:t>的要求形成</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eastAsia="zh-CN"/>
        </w:rPr>
        <w:t>记录。</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具体包含：</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①</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eastAsia="zh-CN"/>
        </w:rPr>
        <w:t>内容：指出</w:t>
      </w:r>
      <w:r>
        <w:rPr>
          <w:rFonts w:hint="eastAsia" w:ascii="宋体" w:hAnsi="宋体" w:cs="宋体"/>
          <w:color w:val="auto"/>
          <w:kern w:val="0"/>
          <w:sz w:val="24"/>
          <w:szCs w:val="24"/>
          <w:highlight w:val="none"/>
          <w:lang w:val="en-US" w:eastAsia="zh-CN"/>
        </w:rPr>
        <w:t>被服务单位</w:t>
      </w:r>
      <w:r>
        <w:rPr>
          <w:rFonts w:hint="eastAsia" w:ascii="宋体" w:hAnsi="宋体" w:eastAsia="宋体" w:cs="宋体"/>
          <w:color w:val="auto"/>
          <w:kern w:val="0"/>
          <w:sz w:val="24"/>
          <w:szCs w:val="24"/>
          <w:highlight w:val="none"/>
          <w:lang w:val="zh-CN" w:eastAsia="zh-CN"/>
        </w:rPr>
        <w:t>存在的</w:t>
      </w:r>
      <w:r>
        <w:rPr>
          <w:rFonts w:hint="eastAsia" w:ascii="宋体" w:hAnsi="宋体" w:cs="宋体"/>
          <w:color w:val="auto"/>
          <w:kern w:val="0"/>
          <w:sz w:val="24"/>
          <w:szCs w:val="24"/>
          <w:highlight w:val="none"/>
          <w:lang w:val="en-US" w:eastAsia="zh-CN"/>
        </w:rPr>
        <w:t>安全</w:t>
      </w:r>
      <w:r>
        <w:rPr>
          <w:rFonts w:hint="eastAsia" w:ascii="宋体" w:hAnsi="宋体" w:eastAsia="宋体" w:cs="宋体"/>
          <w:color w:val="auto"/>
          <w:kern w:val="0"/>
          <w:sz w:val="24"/>
          <w:szCs w:val="24"/>
          <w:highlight w:val="none"/>
          <w:lang w:val="zh-CN" w:eastAsia="zh-CN"/>
        </w:rPr>
        <w:t>隐患，现场</w:t>
      </w:r>
      <w:r>
        <w:rPr>
          <w:rFonts w:hint="eastAsia" w:ascii="宋体" w:hAnsi="宋体" w:cs="宋体"/>
          <w:color w:val="auto"/>
          <w:kern w:val="0"/>
          <w:sz w:val="24"/>
          <w:szCs w:val="24"/>
          <w:highlight w:val="none"/>
          <w:lang w:val="en-US" w:eastAsia="zh-CN"/>
        </w:rPr>
        <w:t>安全隐患</w:t>
      </w:r>
      <w:r>
        <w:rPr>
          <w:rFonts w:hint="eastAsia" w:ascii="宋体" w:hAnsi="宋体" w:eastAsia="宋体" w:cs="宋体"/>
          <w:color w:val="auto"/>
          <w:kern w:val="0"/>
          <w:sz w:val="24"/>
          <w:szCs w:val="24"/>
          <w:highlight w:val="none"/>
          <w:lang w:val="zh-CN" w:eastAsia="zh-CN"/>
        </w:rPr>
        <w:t>行为</w:t>
      </w:r>
      <w:r>
        <w:rPr>
          <w:rFonts w:hint="eastAsia" w:ascii="宋体" w:hAnsi="宋体" w:cs="宋体"/>
          <w:color w:val="auto"/>
          <w:kern w:val="0"/>
          <w:sz w:val="24"/>
          <w:szCs w:val="24"/>
          <w:highlight w:val="none"/>
          <w:lang w:val="en-US" w:eastAsia="zh-CN"/>
        </w:rPr>
        <w:t>纠正</w:t>
      </w:r>
      <w:r>
        <w:rPr>
          <w:rFonts w:hint="eastAsia" w:ascii="宋体" w:hAnsi="宋体" w:eastAsia="宋体" w:cs="宋体"/>
          <w:color w:val="auto"/>
          <w:kern w:val="0"/>
          <w:sz w:val="24"/>
          <w:szCs w:val="24"/>
          <w:highlight w:val="none"/>
          <w:lang w:val="zh-CN" w:eastAsia="zh-CN"/>
        </w:rPr>
        <w:t>，并进行技术指导。</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②</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eastAsia="zh-CN"/>
        </w:rPr>
        <w:t>时间：</w:t>
      </w:r>
      <w:r>
        <w:rPr>
          <w:rFonts w:hint="eastAsia" w:ascii="宋体" w:hAnsi="宋体" w:cs="宋体"/>
          <w:color w:val="auto"/>
          <w:kern w:val="0"/>
          <w:sz w:val="24"/>
          <w:szCs w:val="24"/>
          <w:highlight w:val="none"/>
          <w:lang w:val="en-US" w:eastAsia="zh-CN"/>
        </w:rPr>
        <w:t>按照采购人要求，合理安排好时间和人员</w:t>
      </w:r>
      <w:r>
        <w:rPr>
          <w:rFonts w:hint="eastAsia" w:ascii="宋体" w:hAnsi="宋体" w:eastAsia="宋体" w:cs="宋体"/>
          <w:color w:val="auto"/>
          <w:kern w:val="0"/>
          <w:sz w:val="24"/>
          <w:szCs w:val="24"/>
          <w:highlight w:val="none"/>
          <w:lang w:val="zh-CN" w:eastAsia="zh-CN"/>
        </w:rPr>
        <w:t>，并就</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eastAsia="zh-CN"/>
        </w:rPr>
        <w:t>结果及时提出整改建议。</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③人员要求：身体健康</w:t>
      </w:r>
      <w:r>
        <w:rPr>
          <w:rFonts w:hint="eastAsia" w:ascii="宋体" w:hAnsi="宋体" w:cs="宋体"/>
          <w:color w:val="auto"/>
          <w:kern w:val="0"/>
          <w:sz w:val="24"/>
          <w:szCs w:val="24"/>
          <w:highlight w:val="none"/>
          <w:lang w:val="en-US" w:eastAsia="zh-CN"/>
        </w:rPr>
        <w:t>，适合进行室内外技术指导服务</w:t>
      </w:r>
      <w:r>
        <w:rPr>
          <w:rFonts w:hint="eastAsia" w:ascii="宋体" w:hAnsi="宋体" w:eastAsia="宋体" w:cs="宋体"/>
          <w:color w:val="auto"/>
          <w:kern w:val="0"/>
          <w:sz w:val="24"/>
          <w:szCs w:val="24"/>
          <w:highlight w:val="none"/>
          <w:lang w:val="zh-CN" w:eastAsia="zh-CN"/>
        </w:rPr>
        <w:t>。</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④人数要求：安排不少于</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eastAsia="zh-CN"/>
        </w:rPr>
        <w:t>名安全技术</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eastAsia="zh-CN"/>
        </w:rPr>
        <w:t>人员，具备条件：①注册安全工程师证书</w:t>
      </w:r>
      <w:r>
        <w:rPr>
          <w:rFonts w:hint="eastAsia" w:ascii="宋体" w:hAnsi="宋体" w:cs="宋体"/>
          <w:color w:val="auto"/>
          <w:sz w:val="24"/>
          <w:highlight w:val="none"/>
          <w:lang w:val="en-US" w:eastAsia="zh-CN"/>
        </w:rPr>
        <w:t>（至少含化工类、建筑类）、注册消防工程师</w:t>
      </w:r>
      <w:r>
        <w:rPr>
          <w:rFonts w:hint="eastAsia" w:ascii="宋体" w:hAnsi="宋体" w:eastAsia="宋体" w:cs="宋体"/>
          <w:color w:val="auto"/>
          <w:kern w:val="0"/>
          <w:sz w:val="24"/>
          <w:szCs w:val="24"/>
          <w:highlight w:val="none"/>
          <w:lang w:val="zh-CN" w:eastAsia="zh-CN"/>
        </w:rPr>
        <w:t>。②中级以上职称。须备用乘用车，检查组人员、车辆安全责任以及车辆、食宿费用均由</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zh-CN" w:eastAsia="zh-CN"/>
        </w:rPr>
        <w:t>承担。</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⑤培训内容：每年最少</w:t>
      </w:r>
      <w:r>
        <w:rPr>
          <w:rFonts w:hint="eastAsia" w:ascii="宋体" w:hAnsi="宋体" w:cs="宋体"/>
          <w:color w:val="auto"/>
          <w:kern w:val="0"/>
          <w:sz w:val="24"/>
          <w:szCs w:val="24"/>
          <w:highlight w:val="none"/>
          <w:lang w:val="en-US" w:eastAsia="zh-CN"/>
        </w:rPr>
        <w:t>六</w:t>
      </w:r>
      <w:r>
        <w:rPr>
          <w:rFonts w:hint="eastAsia" w:ascii="宋体" w:hAnsi="宋体" w:eastAsia="宋体" w:cs="宋体"/>
          <w:color w:val="auto"/>
          <w:kern w:val="0"/>
          <w:sz w:val="24"/>
          <w:szCs w:val="24"/>
          <w:highlight w:val="none"/>
          <w:lang w:val="zh-CN" w:eastAsia="zh-CN"/>
        </w:rPr>
        <w:t>次专业安全知识、现场安全监管知识与案例分析培训讲座：</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A、对照现场隐患排查讲解安全隐患整改及安全监管知识技术。</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B、专家宣贯上级</w:t>
      </w:r>
      <w:r>
        <w:rPr>
          <w:rFonts w:hint="eastAsia" w:ascii="宋体" w:hAnsi="宋体" w:eastAsia="宋体" w:cs="宋体"/>
          <w:color w:val="auto"/>
          <w:kern w:val="0"/>
          <w:sz w:val="24"/>
          <w:szCs w:val="24"/>
          <w:highlight w:val="none"/>
          <w:lang w:val="en-US" w:eastAsia="zh-CN"/>
        </w:rPr>
        <w:t>部门</w:t>
      </w:r>
      <w:r>
        <w:rPr>
          <w:rFonts w:hint="eastAsia" w:ascii="宋体" w:hAnsi="宋体" w:eastAsia="宋体" w:cs="宋体"/>
          <w:color w:val="auto"/>
          <w:kern w:val="0"/>
          <w:sz w:val="24"/>
          <w:szCs w:val="24"/>
          <w:highlight w:val="none"/>
          <w:lang w:val="zh-CN" w:eastAsia="zh-CN"/>
        </w:rPr>
        <w:t>最新颁布的安全规范、管理标准及安全防护知识</w:t>
      </w:r>
      <w:r>
        <w:rPr>
          <w:rFonts w:hint="eastAsia" w:ascii="宋体" w:hAnsi="宋体" w:eastAsia="宋体" w:cs="宋体"/>
          <w:color w:val="auto"/>
          <w:kern w:val="0"/>
          <w:sz w:val="24"/>
          <w:szCs w:val="24"/>
          <w:highlight w:val="none"/>
          <w:lang w:val="en-US" w:eastAsia="zh-CN"/>
        </w:rPr>
        <w:t>等</w:t>
      </w:r>
      <w:r>
        <w:rPr>
          <w:rFonts w:hint="eastAsia" w:ascii="宋体" w:hAnsi="宋体" w:eastAsia="宋体" w:cs="宋体"/>
          <w:color w:val="auto"/>
          <w:kern w:val="0"/>
          <w:sz w:val="24"/>
          <w:szCs w:val="24"/>
          <w:highlight w:val="none"/>
          <w:lang w:val="zh-CN" w:eastAsia="zh-CN"/>
        </w:rPr>
        <w:t>。</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⑥项目服务要求：培训时间及内容、</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eastAsia="zh-CN"/>
        </w:rPr>
        <w:t>时间及人员数量和人员专业职称需听从采购</w:t>
      </w:r>
      <w:r>
        <w:rPr>
          <w:rFonts w:hint="eastAsia" w:ascii="宋体" w:hAnsi="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lang w:val="zh-CN" w:eastAsia="zh-CN"/>
        </w:rPr>
        <w:t>安排。</w:t>
      </w:r>
    </w:p>
    <w:p>
      <w:pPr>
        <w:spacing w:line="480" w:lineRule="exact"/>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eastAsia="zh-CN"/>
        </w:rPr>
        <w:t>技术服务成果提交：每次</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形成</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记录台账资料，如实记录</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情况，对存在的突出问题或共性问题要提交专项建议报告，</w:t>
      </w:r>
      <w:r>
        <w:rPr>
          <w:rFonts w:hint="eastAsia" w:ascii="宋体" w:hAnsi="宋体" w:eastAsia="宋体" w:cs="宋体"/>
          <w:color w:val="auto"/>
          <w:kern w:val="0"/>
          <w:sz w:val="24"/>
          <w:szCs w:val="24"/>
          <w:highlight w:val="none"/>
          <w:lang w:val="zh-CN" w:eastAsia="zh-CN"/>
        </w:rPr>
        <w:t>成交</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zh-CN"/>
        </w:rPr>
        <w:t>专家在</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记录、报告上签字，同时</w:t>
      </w:r>
      <w:r>
        <w:rPr>
          <w:rFonts w:hint="eastAsia" w:ascii="宋体" w:hAnsi="宋体" w:eastAsia="宋体" w:cs="宋体"/>
          <w:color w:val="auto"/>
          <w:kern w:val="0"/>
          <w:sz w:val="24"/>
          <w:szCs w:val="24"/>
          <w:highlight w:val="none"/>
          <w:lang w:val="zh-CN" w:eastAsia="zh-CN"/>
        </w:rPr>
        <w:t>成交</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zh-CN"/>
        </w:rPr>
        <w:t>加盖单位公章</w:t>
      </w:r>
      <w:r>
        <w:rPr>
          <w:rFonts w:hint="eastAsia" w:ascii="宋体" w:hAnsi="宋体" w:eastAsia="宋体" w:cs="宋体"/>
          <w:color w:val="auto"/>
          <w:kern w:val="0"/>
          <w:sz w:val="24"/>
          <w:szCs w:val="24"/>
          <w:highlight w:val="none"/>
          <w:lang w:val="zh-CN" w:eastAsia="zh-CN"/>
        </w:rPr>
        <w:t>。</w:t>
      </w:r>
    </w:p>
    <w:p>
      <w:pPr>
        <w:spacing w:line="480" w:lineRule="exact"/>
        <w:ind w:firstLine="480" w:firstLineChars="200"/>
        <w:rPr>
          <w:rFonts w:hint="eastAsia" w:ascii="宋体" w:hAnsi="宋体" w:eastAsia="宋体" w:cs="宋体"/>
          <w:bCs w:val="0"/>
          <w:color w:val="auto"/>
          <w:kern w:val="0"/>
          <w:sz w:val="24"/>
          <w:szCs w:val="24"/>
          <w:highlight w:val="none"/>
          <w:lang w:val="zh-CN"/>
        </w:rPr>
      </w:pPr>
      <w:r>
        <w:rPr>
          <w:rFonts w:hint="eastAsia" w:ascii="宋体" w:hAnsi="宋体" w:eastAsia="宋体" w:cs="宋体"/>
          <w:color w:val="auto"/>
          <w:sz w:val="24"/>
          <w:szCs w:val="24"/>
          <w:highlight w:val="none"/>
          <w:lang w:val="zh-CN" w:eastAsia="zh-CN"/>
        </w:rPr>
        <w:t>（4）成交供应商应对其派驻本项目的人员办理意外险等，若发生安全事故造成人员伤害的，均由成交供应商承担所有责任与损失。</w:t>
      </w:r>
      <w:r>
        <w:rPr>
          <w:rFonts w:hint="eastAsia" w:ascii="宋体" w:hAnsi="宋体" w:eastAsia="宋体" w:cs="宋体"/>
          <w:bCs w:val="0"/>
          <w:color w:val="auto"/>
          <w:kern w:val="0"/>
          <w:sz w:val="24"/>
          <w:szCs w:val="24"/>
          <w:highlight w:val="none"/>
          <w:lang w:val="zh-CN"/>
        </w:rPr>
        <w:t xml:space="preserve">    </w:t>
      </w:r>
    </w:p>
    <w:p>
      <w:pPr>
        <w:spacing w:line="480" w:lineRule="exact"/>
        <w:ind w:firstLine="480"/>
        <w:rPr>
          <w:rFonts w:hint="eastAsia" w:ascii="宋体" w:hAnsi="宋体" w:eastAsia="宋体" w:cs="宋体"/>
          <w:bCs w:val="0"/>
          <w:color w:val="auto"/>
          <w:kern w:val="0"/>
          <w:sz w:val="24"/>
          <w:szCs w:val="24"/>
          <w:highlight w:val="none"/>
          <w:lang w:val="zh-CN"/>
        </w:rPr>
      </w:pPr>
      <w:r>
        <w:rPr>
          <w:rFonts w:hint="eastAsia" w:ascii="宋体" w:hAnsi="宋体" w:eastAsia="宋体" w:cs="宋体"/>
          <w:b/>
          <w:bCs/>
          <w:color w:val="auto"/>
          <w:sz w:val="24"/>
          <w:szCs w:val="24"/>
          <w:highlight w:val="none"/>
          <w:lang w:val="zh-CN" w:eastAsia="zh-CN"/>
        </w:rPr>
        <w:t>4</w:t>
      </w:r>
      <w:r>
        <w:rPr>
          <w:rFonts w:hint="eastAsia" w:ascii="宋体" w:hAnsi="宋体" w:eastAsia="宋体" w:cs="宋体"/>
          <w:b/>
          <w:bCs/>
          <w:color w:val="auto"/>
          <w:kern w:val="0"/>
          <w:sz w:val="24"/>
          <w:szCs w:val="24"/>
          <w:highlight w:val="none"/>
          <w:lang w:val="zh-CN"/>
        </w:rPr>
        <w:t>.质量要求：</w:t>
      </w:r>
      <w:r>
        <w:rPr>
          <w:rFonts w:hint="eastAsia" w:ascii="宋体" w:hAnsi="宋体" w:cs="宋体"/>
          <w:bCs w:val="0"/>
          <w:color w:val="auto"/>
          <w:sz w:val="24"/>
          <w:szCs w:val="24"/>
          <w:highlight w:val="none"/>
          <w:lang w:val="en-US" w:eastAsia="zh-CN"/>
        </w:rPr>
        <w:t>符合采购人对安全技术服务的要求，采购人以及被服务单位（企业）对成交供应商的安全技术服务质量进行等次评价（评价等次为满意、较满意、合格、不合格）</w:t>
      </w:r>
      <w:r>
        <w:rPr>
          <w:rFonts w:hint="eastAsia" w:ascii="宋体" w:hAnsi="宋体" w:eastAsia="宋体" w:cs="宋体"/>
          <w:bCs w:val="0"/>
          <w:color w:val="auto"/>
          <w:kern w:val="0"/>
          <w:sz w:val="24"/>
          <w:szCs w:val="24"/>
          <w:highlight w:val="none"/>
          <w:lang w:val="zh-CN"/>
        </w:rPr>
        <w:t>。</w:t>
      </w:r>
    </w:p>
    <w:p>
      <w:pPr>
        <w:spacing w:line="480" w:lineRule="exact"/>
        <w:ind w:firstLine="480"/>
        <w:rPr>
          <w:rFonts w:hint="eastAsia" w:ascii="宋体" w:hAnsi="宋体" w:eastAsia="宋体" w:cs="宋体"/>
          <w:bCs w:val="0"/>
          <w:color w:val="auto"/>
          <w:sz w:val="24"/>
          <w:szCs w:val="24"/>
          <w:highlight w:val="none"/>
          <w:lang w:val="zh-CN"/>
        </w:rPr>
      </w:pP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sz w:val="24"/>
          <w:szCs w:val="24"/>
          <w:highlight w:val="none"/>
          <w:lang w:val="zh-CN"/>
        </w:rPr>
        <w:t>服务</w:t>
      </w:r>
      <w:r>
        <w:rPr>
          <w:rFonts w:hint="eastAsia" w:ascii="宋体" w:hAnsi="宋体" w:eastAsia="宋体" w:cs="宋体"/>
          <w:b/>
          <w:bCs/>
          <w:color w:val="auto"/>
          <w:sz w:val="24"/>
          <w:szCs w:val="24"/>
          <w:highlight w:val="none"/>
          <w:lang w:val="zh-CN" w:eastAsia="zh-CN"/>
        </w:rPr>
        <w:t>期限</w:t>
      </w:r>
      <w:r>
        <w:rPr>
          <w:rFonts w:hint="eastAsia" w:ascii="宋体" w:hAnsi="宋体" w:eastAsia="宋体" w:cs="宋体"/>
          <w:b/>
          <w:bCs/>
          <w:color w:val="auto"/>
          <w:sz w:val="24"/>
          <w:szCs w:val="24"/>
          <w:highlight w:val="none"/>
          <w:lang w:val="zh-CN"/>
        </w:rPr>
        <w:t>：</w:t>
      </w:r>
      <w:r>
        <w:rPr>
          <w:rFonts w:hint="eastAsia" w:ascii="宋体" w:hAnsi="宋体" w:eastAsia="宋体" w:cs="宋体"/>
          <w:bCs w:val="0"/>
          <w:color w:val="auto"/>
          <w:sz w:val="24"/>
          <w:szCs w:val="24"/>
          <w:highlight w:val="none"/>
          <w:lang w:val="zh-CN"/>
        </w:rPr>
        <w:t>自合同签订之日起</w:t>
      </w:r>
      <w:r>
        <w:rPr>
          <w:rFonts w:hint="eastAsia" w:ascii="宋体" w:hAnsi="宋体" w:cs="宋体"/>
          <w:bCs w:val="0"/>
          <w:color w:val="auto"/>
          <w:sz w:val="24"/>
          <w:szCs w:val="24"/>
          <w:highlight w:val="none"/>
          <w:lang w:val="en-US" w:eastAsia="zh-CN"/>
        </w:rPr>
        <w:t>两</w:t>
      </w:r>
      <w:r>
        <w:rPr>
          <w:rFonts w:hint="eastAsia" w:ascii="宋体" w:hAnsi="宋体" w:eastAsia="宋体" w:cs="宋体"/>
          <w:bCs w:val="0"/>
          <w:color w:val="auto"/>
          <w:sz w:val="24"/>
          <w:szCs w:val="24"/>
          <w:highlight w:val="none"/>
          <w:lang w:val="zh-CN"/>
        </w:rPr>
        <w:t>年</w:t>
      </w:r>
      <w:r>
        <w:rPr>
          <w:rFonts w:hint="eastAsia" w:ascii="宋体" w:hAnsi="宋体" w:cs="宋体"/>
          <w:bCs w:val="0"/>
          <w:color w:val="auto"/>
          <w:sz w:val="24"/>
          <w:szCs w:val="24"/>
          <w:highlight w:val="none"/>
          <w:lang w:val="zh-CN"/>
        </w:rPr>
        <w:t>，</w:t>
      </w:r>
      <w:r>
        <w:rPr>
          <w:rFonts w:hint="eastAsia" w:ascii="宋体" w:hAnsi="宋体" w:eastAsia="宋体" w:cs="宋体"/>
          <w:bCs w:val="0"/>
          <w:color w:val="auto"/>
          <w:sz w:val="24"/>
          <w:szCs w:val="24"/>
          <w:highlight w:val="none"/>
          <w:lang w:val="zh-CN"/>
        </w:rPr>
        <w:t>根据</w:t>
      </w:r>
      <w:r>
        <w:rPr>
          <w:rFonts w:hint="eastAsia" w:ascii="宋体" w:hAnsi="宋体" w:cs="宋体"/>
          <w:bCs w:val="0"/>
          <w:color w:val="auto"/>
          <w:sz w:val="24"/>
          <w:szCs w:val="24"/>
          <w:highlight w:val="none"/>
          <w:lang w:val="en-US" w:eastAsia="zh-CN"/>
        </w:rPr>
        <w:t>被</w:t>
      </w:r>
      <w:r>
        <w:rPr>
          <w:rFonts w:hint="eastAsia" w:ascii="宋体" w:hAnsi="宋体" w:eastAsia="宋体" w:cs="宋体"/>
          <w:bCs w:val="0"/>
          <w:color w:val="auto"/>
          <w:sz w:val="24"/>
          <w:szCs w:val="24"/>
          <w:highlight w:val="none"/>
          <w:lang w:val="zh-CN"/>
        </w:rPr>
        <w:t>服务单位以及相关条线部门的评价结果确定是否续签，续签最多一</w:t>
      </w:r>
      <w:r>
        <w:rPr>
          <w:rFonts w:hint="eastAsia" w:ascii="宋体" w:hAnsi="宋体" w:cs="宋体"/>
          <w:bCs w:val="0"/>
          <w:color w:val="auto"/>
          <w:sz w:val="24"/>
          <w:szCs w:val="24"/>
          <w:highlight w:val="none"/>
          <w:lang w:val="en-US" w:eastAsia="zh-CN"/>
        </w:rPr>
        <w:t>年（评价周期为一年一次，合同期内评价较满意率均达到90%及以上方可续签）</w:t>
      </w:r>
      <w:r>
        <w:rPr>
          <w:rFonts w:hint="eastAsia" w:ascii="宋体" w:hAnsi="宋体" w:eastAsia="宋体" w:cs="宋体"/>
          <w:bCs w:val="0"/>
          <w:color w:val="auto"/>
          <w:sz w:val="24"/>
          <w:szCs w:val="24"/>
          <w:highlight w:val="none"/>
          <w:lang w:val="zh-CN"/>
        </w:rPr>
        <w:t>。</w:t>
      </w:r>
    </w:p>
    <w:p>
      <w:pPr>
        <w:spacing w:line="480" w:lineRule="exact"/>
        <w:ind w:firstLine="480"/>
        <w:rPr>
          <w:rFonts w:hint="eastAsia" w:ascii="宋体" w:hAnsi="宋体" w:eastAsia="宋体" w:cs="宋体"/>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6</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zh-CN" w:eastAsia="zh-CN"/>
        </w:rPr>
        <w:t>服务地点：</w:t>
      </w:r>
      <w:r>
        <w:rPr>
          <w:rFonts w:hint="eastAsia" w:ascii="宋体" w:hAnsi="宋体" w:eastAsia="宋体" w:cs="宋体"/>
          <w:color w:val="auto"/>
          <w:sz w:val="24"/>
          <w:szCs w:val="24"/>
          <w:highlight w:val="none"/>
          <w:lang w:val="zh-CN"/>
        </w:rPr>
        <w:t>启东市</w:t>
      </w:r>
      <w:r>
        <w:rPr>
          <w:rFonts w:hint="eastAsia" w:ascii="宋体" w:hAnsi="宋体" w:eastAsia="宋体" w:cs="宋体"/>
          <w:color w:val="auto"/>
          <w:sz w:val="24"/>
          <w:szCs w:val="24"/>
          <w:highlight w:val="none"/>
          <w:lang w:val="zh-CN" w:eastAsia="zh-CN"/>
        </w:rPr>
        <w:t>汇龙镇。</w:t>
      </w:r>
    </w:p>
    <w:p>
      <w:pPr>
        <w:pStyle w:val="158"/>
        <w:snapToGrid w:val="0"/>
        <w:spacing w:line="480" w:lineRule="exact"/>
        <w:ind w:firstLine="480" w:firstLineChars="200"/>
        <w:rPr>
          <w:rFonts w:hint="eastAsia" w:ascii="宋体" w:hAnsi="宋体" w:eastAsia="宋体" w:cs="宋体"/>
          <w:b/>
          <w:bCs/>
          <w:color w:val="auto"/>
          <w:kern w:val="0"/>
          <w:sz w:val="24"/>
          <w:szCs w:val="24"/>
          <w:highlight w:val="none"/>
          <w:lang w:val="zh-CN"/>
        </w:rPr>
      </w:pPr>
      <w:r>
        <w:rPr>
          <w:rFonts w:hint="eastAsia" w:ascii="宋体" w:eastAsia="宋体" w:cs="宋体"/>
          <w:b/>
          <w:bCs/>
          <w:color w:val="auto"/>
          <w:kern w:val="0"/>
          <w:sz w:val="24"/>
          <w:szCs w:val="24"/>
          <w:highlight w:val="none"/>
          <w:lang w:val="en-US" w:eastAsia="zh-CN"/>
        </w:rPr>
        <w:t>7.</w:t>
      </w:r>
      <w:r>
        <w:rPr>
          <w:rFonts w:hint="eastAsia" w:ascii="宋体" w:hAnsi="宋体" w:eastAsia="宋体" w:cs="宋体"/>
          <w:b/>
          <w:bCs/>
          <w:color w:val="auto"/>
          <w:kern w:val="0"/>
          <w:sz w:val="24"/>
          <w:szCs w:val="24"/>
          <w:highlight w:val="none"/>
          <w:lang w:val="zh-CN"/>
        </w:rPr>
        <w:t>付款方式</w:t>
      </w:r>
    </w:p>
    <w:p>
      <w:pPr>
        <w:pStyle w:val="158"/>
        <w:snapToGrid w:val="0"/>
        <w:spacing w:line="480" w:lineRule="exact"/>
        <w:rPr>
          <w:rFonts w:hint="eastAsia" w:ascii="宋体" w:hAnsi="宋体" w:eastAsia="宋体" w:cs="宋体"/>
          <w:color w:val="auto"/>
          <w:kern w:val="0"/>
          <w:sz w:val="24"/>
          <w:szCs w:val="24"/>
          <w:highlight w:val="none"/>
          <w:lang w:val="zh-CN" w:eastAsia="zh-CN"/>
        </w:rPr>
      </w:pPr>
      <w:r>
        <w:rPr>
          <w:rFonts w:hint="eastAsia" w:ascii="宋体" w:eastAsia="宋体" w:cs="宋体"/>
          <w:color w:val="auto"/>
          <w:kern w:val="0"/>
          <w:sz w:val="24"/>
          <w:szCs w:val="24"/>
          <w:highlight w:val="none"/>
          <w:lang w:val="en-US" w:eastAsia="zh-CN"/>
        </w:rPr>
        <w:t>合同期内每一整年</w:t>
      </w:r>
      <w:r>
        <w:rPr>
          <w:rFonts w:hint="eastAsia" w:ascii="宋体" w:hAnsi="宋体" w:eastAsia="宋体" w:cs="宋体"/>
          <w:color w:val="auto"/>
          <w:kern w:val="0"/>
          <w:sz w:val="24"/>
          <w:szCs w:val="24"/>
          <w:highlight w:val="none"/>
          <w:lang w:val="zh-CN" w:eastAsia="zh-CN"/>
        </w:rPr>
        <w:t>经采购方项目考核</w:t>
      </w:r>
      <w:r>
        <w:rPr>
          <w:rFonts w:hint="eastAsia" w:ascii="宋体" w:eastAsia="宋体" w:cs="宋体"/>
          <w:color w:val="auto"/>
          <w:kern w:val="0"/>
          <w:sz w:val="24"/>
          <w:szCs w:val="24"/>
          <w:highlight w:val="none"/>
          <w:lang w:val="en-US" w:eastAsia="zh-CN"/>
        </w:rPr>
        <w:t>评价较满意率达到90%</w:t>
      </w:r>
      <w:r>
        <w:rPr>
          <w:rFonts w:hint="eastAsia" w:ascii="宋体" w:hAnsi="宋体" w:cs="宋体"/>
          <w:bCs w:val="0"/>
          <w:color w:val="auto"/>
          <w:sz w:val="24"/>
          <w:szCs w:val="24"/>
          <w:highlight w:val="none"/>
          <w:lang w:val="en-US" w:eastAsia="zh-CN"/>
        </w:rPr>
        <w:t>及</w:t>
      </w:r>
      <w:r>
        <w:rPr>
          <w:rFonts w:hint="eastAsia" w:ascii="宋体" w:eastAsia="宋体" w:cs="宋体"/>
          <w:color w:val="auto"/>
          <w:kern w:val="0"/>
          <w:sz w:val="24"/>
          <w:szCs w:val="24"/>
          <w:highlight w:val="none"/>
          <w:lang w:val="en-US" w:eastAsia="zh-CN"/>
        </w:rPr>
        <w:t>以上</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eastAsia="zh-CN"/>
        </w:rPr>
        <w:t>采购方在合同总价内按实支付</w:t>
      </w:r>
      <w:r>
        <w:rPr>
          <w:rFonts w:hint="eastAsia" w:ascii="宋体" w:eastAsia="宋体" w:cs="宋体"/>
          <w:color w:val="auto"/>
          <w:kern w:val="0"/>
          <w:sz w:val="24"/>
          <w:szCs w:val="24"/>
          <w:highlight w:val="none"/>
          <w:lang w:val="zh-CN" w:eastAsia="zh-CN"/>
        </w:rPr>
        <w:t>；</w:t>
      </w:r>
      <w:r>
        <w:rPr>
          <w:rFonts w:hint="eastAsia" w:ascii="宋体" w:eastAsia="宋体" w:cs="宋体"/>
          <w:color w:val="auto"/>
          <w:kern w:val="0"/>
          <w:sz w:val="24"/>
          <w:szCs w:val="24"/>
          <w:highlight w:val="none"/>
          <w:lang w:val="en-US" w:eastAsia="zh-CN"/>
        </w:rPr>
        <w:t>未满90%的，扣除10%的应付款。</w:t>
      </w:r>
      <w:r>
        <w:rPr>
          <w:rFonts w:hint="eastAsia" w:ascii="宋体" w:hAnsi="宋体" w:eastAsia="宋体" w:cs="宋体"/>
          <w:color w:val="auto"/>
          <w:kern w:val="0"/>
          <w:sz w:val="24"/>
          <w:szCs w:val="24"/>
          <w:highlight w:val="none"/>
          <w:lang w:val="zh-CN"/>
        </w:rPr>
        <w:t>不计息。（以上支付进程及金额为初步框定，最终支付时间及金额按照</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zh-CN"/>
        </w:rPr>
        <w:t>具体拨款情况而定</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w:t>
      </w:r>
    </w:p>
    <w:p>
      <w:pPr>
        <w:pStyle w:val="158"/>
        <w:snapToGrid w:val="0"/>
        <w:spacing w:line="480" w:lineRule="exact"/>
        <w:ind w:firstLine="480" w:firstLineChars="200"/>
        <w:rPr>
          <w:rFonts w:hint="eastAsia" w:ascii="宋体" w:hAnsi="宋体" w:eastAsia="宋体" w:cs="宋体"/>
          <w:b/>
          <w:bCs/>
          <w:color w:val="auto"/>
          <w:kern w:val="0"/>
          <w:sz w:val="24"/>
          <w:szCs w:val="24"/>
          <w:highlight w:val="none"/>
          <w:lang w:val="zh-CN"/>
        </w:rPr>
      </w:pPr>
      <w:r>
        <w:rPr>
          <w:rFonts w:hint="eastAsia" w:ascii="宋体" w:eastAsia="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lang w:val="zh-CN"/>
        </w:rPr>
        <w:t>有关说明：</w:t>
      </w:r>
    </w:p>
    <w:p>
      <w:pPr>
        <w:pStyle w:val="158"/>
        <w:snapToGrid w:val="0"/>
        <w:spacing w:line="480" w:lineRule="exact"/>
        <w:rPr>
          <w:rFonts w:hint="eastAsia" w:ascii="宋体" w:hAns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w:t>
      </w:r>
      <w:r>
        <w:rPr>
          <w:rFonts w:hint="eastAsia" w:asci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本项目报价为</w:t>
      </w:r>
      <w:r>
        <w:rPr>
          <w:rFonts w:hint="eastAsia" w:ascii="宋体" w:eastAsia="宋体" w:cs="宋体"/>
          <w:color w:val="auto"/>
          <w:kern w:val="0"/>
          <w:sz w:val="24"/>
          <w:szCs w:val="24"/>
          <w:highlight w:val="none"/>
          <w:lang w:val="en-US" w:eastAsia="zh-CN"/>
        </w:rPr>
        <w:t>固定</w:t>
      </w:r>
      <w:r>
        <w:rPr>
          <w:rFonts w:hint="eastAsia" w:ascii="宋体" w:hAnsi="宋体" w:eastAsia="宋体" w:cs="宋体"/>
          <w:color w:val="auto"/>
          <w:kern w:val="0"/>
          <w:sz w:val="24"/>
          <w:szCs w:val="24"/>
          <w:highlight w:val="none"/>
          <w:lang w:val="en-US" w:eastAsia="zh-CN"/>
        </w:rPr>
        <w:t>单价报价</w:t>
      </w:r>
      <w:r>
        <w:rPr>
          <w:rFonts w:hint="eastAsia" w:ascii="宋体" w:hAnsi="宋体" w:eastAsia="宋体" w:cs="宋体"/>
          <w:color w:val="auto"/>
          <w:kern w:val="0"/>
          <w:sz w:val="24"/>
          <w:szCs w:val="24"/>
          <w:highlight w:val="none"/>
          <w:lang w:val="zh-CN"/>
        </w:rPr>
        <w:t>。报价包括服务期内</w:t>
      </w:r>
      <w:r>
        <w:rPr>
          <w:rFonts w:hint="eastAsia" w:ascii="宋体" w:hAnsi="宋体" w:eastAsia="宋体" w:cs="宋体"/>
          <w:color w:val="auto"/>
          <w:kern w:val="0"/>
          <w:sz w:val="24"/>
          <w:szCs w:val="24"/>
          <w:highlight w:val="none"/>
          <w:lang w:val="zh-CN" w:eastAsia="zh-CN"/>
        </w:rPr>
        <w:t>所有的</w:t>
      </w:r>
      <w:r>
        <w:rPr>
          <w:rFonts w:hint="eastAsia" w:ascii="宋体" w:hAnsi="宋体" w:eastAsia="宋体" w:cs="宋体"/>
          <w:color w:val="auto"/>
          <w:kern w:val="0"/>
          <w:sz w:val="24"/>
          <w:szCs w:val="24"/>
          <w:highlight w:val="none"/>
          <w:lang w:val="zh-CN"/>
        </w:rPr>
        <w:t>人员费用</w:t>
      </w:r>
      <w:r>
        <w:rPr>
          <w:rFonts w:hint="eastAsia" w:ascii="宋体" w:hAnsi="宋体" w:eastAsia="宋体" w:cs="宋体"/>
          <w:color w:val="auto"/>
          <w:kern w:val="0"/>
          <w:sz w:val="24"/>
          <w:szCs w:val="24"/>
          <w:highlight w:val="none"/>
          <w:lang w:val="zh-CN" w:eastAsia="zh-CN"/>
        </w:rPr>
        <w:t>（包括工资、福利、保险等所有人员费用）</w:t>
      </w:r>
      <w:r>
        <w:rPr>
          <w:rFonts w:hint="eastAsia" w:ascii="宋体" w:hAnsi="宋体" w:eastAsia="宋体" w:cs="宋体"/>
          <w:color w:val="auto"/>
          <w:kern w:val="0"/>
          <w:sz w:val="24"/>
          <w:szCs w:val="24"/>
          <w:highlight w:val="none"/>
          <w:lang w:val="zh-CN"/>
        </w:rPr>
        <w:t>、交通费用、</w:t>
      </w:r>
      <w:r>
        <w:rPr>
          <w:rFonts w:hint="eastAsia" w:ascii="宋体" w:hAnsi="宋体" w:eastAsia="宋体" w:cs="宋体"/>
          <w:color w:val="auto"/>
          <w:kern w:val="0"/>
          <w:sz w:val="24"/>
          <w:szCs w:val="24"/>
          <w:highlight w:val="none"/>
          <w:lang w:val="zh-CN" w:eastAsia="zh-CN"/>
        </w:rPr>
        <w:t>食宿费、</w:t>
      </w:r>
      <w:r>
        <w:rPr>
          <w:rFonts w:hint="eastAsia" w:ascii="宋体" w:hAnsi="宋体" w:eastAsia="宋体" w:cs="宋体"/>
          <w:color w:val="auto"/>
          <w:kern w:val="0"/>
          <w:sz w:val="24"/>
          <w:szCs w:val="24"/>
          <w:highlight w:val="none"/>
          <w:lang w:val="zh-CN"/>
        </w:rPr>
        <w:t>服装费、工具费、服务费、</w:t>
      </w:r>
      <w:r>
        <w:rPr>
          <w:rFonts w:hint="eastAsia" w:ascii="宋体" w:hAnsi="宋体" w:eastAsia="宋体" w:cs="宋体"/>
          <w:color w:val="auto"/>
          <w:kern w:val="0"/>
          <w:sz w:val="24"/>
          <w:szCs w:val="24"/>
          <w:highlight w:val="none"/>
          <w:lang w:val="zh-CN" w:eastAsia="zh-CN"/>
        </w:rPr>
        <w:t>培训费（含会场租赁费等）、保险费、</w:t>
      </w:r>
      <w:r>
        <w:rPr>
          <w:rFonts w:hint="eastAsia" w:ascii="宋体" w:hAnsi="宋体" w:eastAsia="宋体" w:cs="宋体"/>
          <w:color w:val="auto"/>
          <w:kern w:val="0"/>
          <w:sz w:val="24"/>
          <w:szCs w:val="24"/>
          <w:highlight w:val="none"/>
          <w:lang w:val="zh-CN"/>
        </w:rPr>
        <w:t>管理费</w:t>
      </w:r>
      <w:r>
        <w:rPr>
          <w:rFonts w:hint="eastAsia" w:ascii="宋体" w:hAnsi="宋体" w:eastAsia="宋体" w:cs="宋体"/>
          <w:color w:val="auto"/>
          <w:kern w:val="0"/>
          <w:sz w:val="24"/>
          <w:szCs w:val="24"/>
          <w:highlight w:val="none"/>
          <w:lang w:val="zh-CN" w:eastAsia="zh-CN"/>
        </w:rPr>
        <w:t>、政策性变化风险、</w:t>
      </w:r>
      <w:r>
        <w:rPr>
          <w:rFonts w:hint="eastAsia" w:ascii="宋体" w:hAnsi="宋体" w:eastAsia="宋体" w:cs="宋体"/>
          <w:color w:val="auto"/>
          <w:kern w:val="0"/>
          <w:sz w:val="24"/>
          <w:szCs w:val="24"/>
          <w:highlight w:val="none"/>
          <w:lang w:val="zh-CN"/>
        </w:rPr>
        <w:t>税金等</w:t>
      </w:r>
      <w:r>
        <w:rPr>
          <w:rFonts w:hint="eastAsia" w:ascii="宋体" w:hAnsi="宋体" w:eastAsia="宋体" w:cs="宋体"/>
          <w:color w:val="auto"/>
          <w:kern w:val="0"/>
          <w:sz w:val="24"/>
          <w:szCs w:val="24"/>
          <w:highlight w:val="none"/>
          <w:lang w:val="zh-CN" w:eastAsia="zh-CN"/>
        </w:rPr>
        <w:t>，以及其他供应商认为所需的</w:t>
      </w:r>
      <w:r>
        <w:rPr>
          <w:rFonts w:hint="eastAsia" w:ascii="宋体" w:hAnsi="宋体" w:eastAsia="宋体" w:cs="宋体"/>
          <w:color w:val="auto"/>
          <w:kern w:val="0"/>
          <w:sz w:val="24"/>
          <w:szCs w:val="24"/>
          <w:highlight w:val="none"/>
          <w:lang w:val="zh-CN"/>
        </w:rPr>
        <w:t>一切费用。</w:t>
      </w:r>
    </w:p>
    <w:p>
      <w:pPr>
        <w:pStyle w:val="158"/>
        <w:snapToGrid w:val="0"/>
        <w:spacing w:line="480" w:lineRule="exact"/>
        <w:rPr>
          <w:rFonts w:hint="eastAsia" w:ascii="宋体" w:hAns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eastAsia="zh-CN"/>
        </w:rPr>
        <w:t>（</w:t>
      </w:r>
      <w:r>
        <w:rPr>
          <w:rFonts w:hint="eastAsia" w:asci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为更好的开展各项工作，本项目在合同</w:t>
      </w:r>
      <w:r>
        <w:rPr>
          <w:rFonts w:hint="eastAsia" w:ascii="宋体" w:eastAsia="宋体" w:cs="宋体"/>
          <w:color w:val="auto"/>
          <w:kern w:val="0"/>
          <w:sz w:val="24"/>
          <w:szCs w:val="24"/>
          <w:highlight w:val="none"/>
          <w:lang w:val="en-US" w:eastAsia="zh-CN"/>
        </w:rPr>
        <w:t>签订</w:t>
      </w:r>
      <w:r>
        <w:rPr>
          <w:rFonts w:hint="eastAsia" w:ascii="宋体" w:hAnsi="宋体" w:eastAsia="宋体" w:cs="宋体"/>
          <w:color w:val="auto"/>
          <w:kern w:val="0"/>
          <w:sz w:val="24"/>
          <w:szCs w:val="24"/>
          <w:highlight w:val="none"/>
          <w:lang w:val="zh-CN"/>
        </w:rPr>
        <w:t>后</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设置1个月过渡的期限，若</w:t>
      </w: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lang w:val="zh-CN" w:eastAsia="zh-CN"/>
        </w:rPr>
        <w:t>供应商</w:t>
      </w:r>
      <w:r>
        <w:rPr>
          <w:rFonts w:hint="eastAsia" w:ascii="宋体" w:hAnsi="宋体" w:eastAsia="宋体" w:cs="宋体"/>
          <w:color w:val="auto"/>
          <w:kern w:val="0"/>
          <w:sz w:val="24"/>
          <w:szCs w:val="24"/>
          <w:highlight w:val="none"/>
          <w:lang w:val="zh-CN"/>
        </w:rPr>
        <w:t>在过渡期内不能按照合同约定开展工作，采购</w:t>
      </w:r>
      <w:r>
        <w:rPr>
          <w:rFonts w:hint="eastAsia" w:ascii="宋体" w:hAnsi="宋体" w:eastAsia="宋体" w:cs="宋体"/>
          <w:color w:val="auto"/>
          <w:kern w:val="0"/>
          <w:sz w:val="24"/>
          <w:szCs w:val="24"/>
          <w:highlight w:val="none"/>
          <w:lang w:val="zh-CN" w:eastAsia="zh-CN"/>
        </w:rPr>
        <w:t>人</w:t>
      </w:r>
      <w:r>
        <w:rPr>
          <w:rFonts w:hint="eastAsia" w:ascii="宋体" w:hAnsi="宋体" w:eastAsia="宋体" w:cs="宋体"/>
          <w:color w:val="auto"/>
          <w:kern w:val="0"/>
          <w:sz w:val="24"/>
          <w:szCs w:val="24"/>
          <w:highlight w:val="none"/>
          <w:lang w:val="zh-CN"/>
        </w:rPr>
        <w:t>有权取消其</w:t>
      </w:r>
      <w:r>
        <w:rPr>
          <w:rFonts w:hint="eastAsia" w:ascii="宋体" w:hAnsi="宋体" w:eastAsia="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lang w:val="zh-CN"/>
        </w:rPr>
        <w:t>资格，立即终止合同，并根据</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lang w:val="zh-CN"/>
        </w:rPr>
        <w:t>相关规定进行处理并在3年内不得参与本项目的招标投标活动。</w:t>
      </w:r>
    </w:p>
    <w:p>
      <w:pPr>
        <w:pStyle w:val="158"/>
        <w:snapToGrid w:val="0"/>
        <w:spacing w:line="480" w:lineRule="exact"/>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3）成交供应商不得在采购方辖区范围内以行政检查的名义开展服务；不得借服务为名，向被服务单位收取财物或其他好处；不得有偿承接被服务单位整改等项目，不得向被服务单位收取任何费用，不得利诱贿赂安全监管人员。一经发现，采购人有权立即终止合同，没收履约保证金，并要求成交供应商承担一切责任及损失。</w:t>
      </w:r>
    </w:p>
    <w:p>
      <w:pPr>
        <w:pStyle w:val="158"/>
        <w:snapToGrid w:val="0"/>
        <w:spacing w:line="480" w:lineRule="exact"/>
        <w:rPr>
          <w:rFonts w:hint="eastAsia" w:ascii="宋体" w:hAnsi="宋体" w:eastAsia="宋体" w:cs="宋体"/>
          <w:color w:val="auto"/>
          <w:kern w:val="0"/>
          <w:sz w:val="24"/>
          <w:szCs w:val="24"/>
          <w:highlight w:val="none"/>
          <w:lang w:val="zh-CN" w:eastAsia="zh-CN"/>
        </w:rPr>
      </w:pPr>
      <w:r>
        <w:rPr>
          <w:rFonts w:hint="eastAsia" w:asci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本项目以上的要求均为实质性要求，</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val="zh-CN" w:eastAsia="zh-CN"/>
        </w:rPr>
        <w:t>供应商</w:t>
      </w:r>
      <w:r>
        <w:rPr>
          <w:rFonts w:hint="eastAsia" w:ascii="宋体" w:hAnsi="宋体" w:eastAsia="宋体" w:cs="宋体"/>
          <w:color w:val="auto"/>
          <w:kern w:val="0"/>
          <w:sz w:val="24"/>
          <w:szCs w:val="24"/>
          <w:highlight w:val="none"/>
          <w:lang w:val="zh-CN"/>
        </w:rPr>
        <w:t>须完全响应</w:t>
      </w:r>
      <w:r>
        <w:rPr>
          <w:rFonts w:hint="eastAsia" w:ascii="宋体" w:hAnsi="宋体" w:eastAsia="宋体" w:cs="宋体"/>
          <w:color w:val="auto"/>
          <w:kern w:val="0"/>
          <w:sz w:val="24"/>
          <w:szCs w:val="24"/>
          <w:highlight w:val="none"/>
          <w:lang w:val="zh-CN" w:eastAsia="zh-CN"/>
        </w:rPr>
        <w:t>。</w:t>
      </w:r>
    </w:p>
    <w:p>
      <w:pPr>
        <w:spacing w:line="240" w:lineRule="auto"/>
        <w:ind w:firstLine="0" w:firstLineChars="0"/>
        <w:rPr>
          <w:rFonts w:hint="eastAsia" w:ascii="宋体" w:hAnsi="宋体" w:cs="宋体"/>
          <w:b/>
          <w:color w:val="auto"/>
          <w:sz w:val="24"/>
          <w:lang w:val="en-US" w:eastAsia="zh-CN"/>
        </w:rPr>
      </w:pPr>
      <w:r>
        <w:rPr>
          <w:rFonts w:hint="eastAsia" w:ascii="宋体" w:hAnsi="宋体" w:cs="宋体"/>
          <w:b/>
          <w:color w:val="auto"/>
          <w:sz w:val="24"/>
          <w:lang w:val="en-US" w:eastAsia="zh-CN"/>
        </w:rPr>
        <w:br w:type="page"/>
      </w:r>
    </w:p>
    <w:p>
      <w:pPr>
        <w:spacing w:line="480" w:lineRule="exact"/>
        <w:ind w:firstLine="577" w:firstLineChars="200"/>
        <w:jc w:val="center"/>
        <w:rPr>
          <w:rFonts w:hint="eastAsia" w:ascii="宋体" w:hAnsi="宋体" w:eastAsia="宋体" w:cs="宋体"/>
          <w:color w:val="auto"/>
          <w:kern w:val="0"/>
          <w:sz w:val="36"/>
          <w:szCs w:val="36"/>
        </w:rPr>
      </w:pPr>
      <w:r>
        <w:rPr>
          <w:rFonts w:hint="eastAsia" w:ascii="宋体" w:hAnsi="宋体" w:eastAsia="宋体" w:cs="宋体"/>
          <w:b/>
          <w:bCs/>
          <w:color w:val="auto"/>
          <w:w w:val="80"/>
          <w:sz w:val="36"/>
          <w:szCs w:val="36"/>
        </w:rPr>
        <w:t>第四章</w:t>
      </w:r>
      <w:bookmarkStart w:id="71" w:name="_Toc43217893"/>
      <w:bookmarkStart w:id="72" w:name="_Toc37322565"/>
      <w:bookmarkStart w:id="73" w:name="_Toc182848996"/>
      <w:bookmarkStart w:id="74" w:name="_Toc38121794"/>
      <w:bookmarkStart w:id="75" w:name="_Toc85627670"/>
      <w:r>
        <w:rPr>
          <w:rFonts w:hint="eastAsia" w:ascii="宋体" w:hAnsi="宋体" w:eastAsia="宋体" w:cs="宋体"/>
          <w:b/>
          <w:bCs/>
          <w:color w:val="auto"/>
          <w:w w:val="80"/>
          <w:sz w:val="36"/>
          <w:szCs w:val="36"/>
        </w:rPr>
        <w:t>评审程序和内容</w:t>
      </w:r>
    </w:p>
    <w:bookmarkEnd w:id="71"/>
    <w:bookmarkEnd w:id="72"/>
    <w:bookmarkEnd w:id="73"/>
    <w:bookmarkEnd w:id="74"/>
    <w:bookmarkEnd w:id="75"/>
    <w:p>
      <w:pPr>
        <w:tabs>
          <w:tab w:val="left" w:pos="3585"/>
        </w:tabs>
        <w:snapToGrid w:val="0"/>
        <w:spacing w:line="480" w:lineRule="exact"/>
        <w:ind w:firstLine="461" w:firstLineChars="192"/>
        <w:rPr>
          <w:rFonts w:hint="eastAsia" w:ascii="宋体" w:hAnsi="宋体" w:eastAsia="宋体" w:cs="宋体"/>
          <w:b/>
          <w:color w:val="auto"/>
          <w:sz w:val="24"/>
          <w:szCs w:val="24"/>
        </w:rPr>
      </w:pPr>
      <w:bookmarkStart w:id="76" w:name="_Toc363573857"/>
      <w:bookmarkEnd w:id="76"/>
      <w:r>
        <w:rPr>
          <w:rFonts w:hint="eastAsia" w:ascii="宋体" w:hAnsi="宋体" w:eastAsia="宋体" w:cs="宋体"/>
          <w:b/>
          <w:bCs/>
          <w:color w:val="auto"/>
          <w:sz w:val="24"/>
          <w:szCs w:val="24"/>
        </w:rPr>
        <w:t>一、</w:t>
      </w:r>
      <w:r>
        <w:rPr>
          <w:rFonts w:hint="eastAsia" w:ascii="宋体" w:hAnsi="宋体" w:eastAsia="宋体" w:cs="宋体"/>
          <w:b/>
          <w:color w:val="auto"/>
          <w:sz w:val="24"/>
          <w:szCs w:val="24"/>
        </w:rPr>
        <w:t>采购人委托代理机构组织磋商</w:t>
      </w:r>
    </w:p>
    <w:p>
      <w:pPr>
        <w:tabs>
          <w:tab w:val="left" w:pos="3585"/>
        </w:tabs>
        <w:snapToGrid w:val="0"/>
        <w:spacing w:line="480" w:lineRule="exact"/>
        <w:ind w:firstLine="460" w:firstLineChars="192"/>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响应供应商须持有效身份</w:t>
      </w:r>
      <w:r>
        <w:rPr>
          <w:rFonts w:hint="eastAsia" w:ascii="宋体" w:hAnsi="宋体" w:eastAsia="宋体" w:cs="宋体"/>
          <w:color w:val="auto"/>
          <w:kern w:val="0"/>
          <w:sz w:val="24"/>
          <w:szCs w:val="24"/>
        </w:rPr>
        <w:t>证明</w:t>
      </w:r>
      <w:r>
        <w:rPr>
          <w:rFonts w:hint="eastAsia" w:ascii="宋体" w:hAnsi="宋体" w:eastAsia="宋体" w:cs="宋体"/>
          <w:color w:val="auto"/>
          <w:kern w:val="0"/>
          <w:sz w:val="24"/>
          <w:szCs w:val="24"/>
          <w:lang w:val="zh-CN"/>
        </w:rPr>
        <w:t>参加磋商会。</w:t>
      </w:r>
    </w:p>
    <w:p>
      <w:pPr>
        <w:snapToGrid w:val="0"/>
        <w:spacing w:line="480" w:lineRule="exact"/>
        <w:ind w:firstLine="480" w:firstLineChars="200"/>
        <w:rPr>
          <w:rFonts w:hint="eastAsia" w:ascii="宋体" w:hAnsi="宋体" w:eastAsia="宋体" w:cs="宋体"/>
          <w:b/>
          <w:bCs/>
          <w:color w:val="auto"/>
          <w:sz w:val="24"/>
          <w:szCs w:val="24"/>
        </w:rPr>
      </w:pPr>
      <w:r>
        <w:rPr>
          <w:rFonts w:hint="eastAsia" w:ascii="宋体" w:hAnsi="宋体" w:eastAsia="宋体" w:cs="宋体"/>
          <w:b/>
          <w:color w:val="auto"/>
          <w:kern w:val="0"/>
          <w:sz w:val="24"/>
          <w:szCs w:val="24"/>
          <w:lang w:val="zh-CN"/>
        </w:rPr>
        <w:t>二、竞争性磋商小组</w:t>
      </w:r>
      <w:r>
        <w:rPr>
          <w:rFonts w:hint="eastAsia" w:ascii="宋体" w:hAnsi="宋体" w:eastAsia="宋体" w:cs="宋体"/>
          <w:b/>
          <w:bCs/>
          <w:color w:val="auto"/>
          <w:sz w:val="24"/>
          <w:szCs w:val="24"/>
        </w:rPr>
        <w:t>由有关专家和</w:t>
      </w:r>
      <w:r>
        <w:rPr>
          <w:rFonts w:hint="eastAsia" w:ascii="宋体" w:hAnsi="宋体" w:eastAsia="宋体" w:cs="宋体"/>
          <w:b/>
          <w:color w:val="auto"/>
          <w:sz w:val="24"/>
          <w:szCs w:val="24"/>
        </w:rPr>
        <w:t>采购人代表</w:t>
      </w:r>
      <w:r>
        <w:rPr>
          <w:rFonts w:hint="eastAsia" w:ascii="宋体" w:hAnsi="宋体" w:eastAsia="宋体" w:cs="宋体"/>
          <w:b/>
          <w:bCs/>
          <w:color w:val="auto"/>
          <w:sz w:val="24"/>
          <w:szCs w:val="24"/>
        </w:rPr>
        <w:t>组成</w:t>
      </w:r>
      <w:r>
        <w:rPr>
          <w:rFonts w:hint="eastAsia" w:ascii="宋体" w:hAnsi="宋体" w:eastAsia="宋体" w:cs="宋体"/>
          <w:b/>
          <w:color w:val="auto"/>
          <w:sz w:val="24"/>
          <w:szCs w:val="24"/>
        </w:rPr>
        <w:t>，按照</w:t>
      </w:r>
      <w:r>
        <w:rPr>
          <w:rFonts w:hint="eastAsia" w:ascii="宋体" w:hAnsi="宋体" w:eastAsia="宋体" w:cs="宋体"/>
          <w:b/>
          <w:bCs/>
          <w:color w:val="auto"/>
          <w:sz w:val="24"/>
          <w:szCs w:val="24"/>
        </w:rPr>
        <w:t>公平、公正、择优的原则进行</w:t>
      </w:r>
      <w:r>
        <w:rPr>
          <w:rFonts w:hint="eastAsia" w:ascii="宋体" w:hAnsi="宋体" w:eastAsia="宋体" w:cs="宋体"/>
          <w:b/>
          <w:color w:val="auto"/>
          <w:sz w:val="24"/>
          <w:szCs w:val="24"/>
        </w:rPr>
        <w:t>独立</w:t>
      </w:r>
      <w:r>
        <w:rPr>
          <w:rFonts w:hint="eastAsia" w:ascii="宋体" w:hAnsi="宋体" w:eastAsia="宋体" w:cs="宋体"/>
          <w:b/>
          <w:bCs/>
          <w:color w:val="auto"/>
          <w:sz w:val="24"/>
          <w:szCs w:val="24"/>
        </w:rPr>
        <w:t>评审。</w:t>
      </w:r>
    </w:p>
    <w:p>
      <w:pPr>
        <w:snapToGrid w:val="0"/>
        <w:spacing w:line="480" w:lineRule="exact"/>
        <w:ind w:firstLine="570"/>
        <w:rPr>
          <w:rFonts w:hint="eastAsia" w:ascii="宋体" w:hAnsi="宋体" w:eastAsia="宋体" w:cs="宋体"/>
          <w:b/>
          <w:bCs/>
          <w:color w:val="auto"/>
          <w:sz w:val="24"/>
          <w:szCs w:val="24"/>
        </w:rPr>
      </w:pPr>
      <w:r>
        <w:rPr>
          <w:rFonts w:hint="eastAsia" w:ascii="宋体" w:hAnsi="宋体" w:eastAsia="宋体" w:cs="宋体"/>
          <w:b/>
          <w:bCs/>
          <w:color w:val="auto"/>
          <w:sz w:val="24"/>
          <w:szCs w:val="24"/>
        </w:rPr>
        <w:t>（一）评审内容</w:t>
      </w:r>
    </w:p>
    <w:p>
      <w:pPr>
        <w:snapToGrid w:val="0"/>
        <w:spacing w:line="480" w:lineRule="exac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1、是否递交响应文件；</w:t>
      </w:r>
    </w:p>
    <w:p>
      <w:pPr>
        <w:snapToGrid w:val="0"/>
        <w:spacing w:line="480" w:lineRule="exac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2、供应商资格是否符合；</w:t>
      </w:r>
    </w:p>
    <w:p>
      <w:pPr>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3、响应文件是否完整；</w:t>
      </w:r>
    </w:p>
    <w:p>
      <w:pPr>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4、响应文件是否恰当地签署；</w:t>
      </w:r>
    </w:p>
    <w:p>
      <w:pPr>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5、是否作出实质性响应（是否有实质性响应，只根据响应文件本身，而不寻求外部证据）；</w:t>
      </w:r>
    </w:p>
    <w:p>
      <w:pPr>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6、是否有计算错误。</w:t>
      </w:r>
    </w:p>
    <w:p>
      <w:pPr>
        <w:snapToGrid w:val="0"/>
        <w:spacing w:line="480" w:lineRule="exact"/>
        <w:ind w:firstLine="480"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（二）相应的规定</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1、响应文件中报价总表内容与响应文件中相应内容不一致的，以报价总表为准；</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2、大写金额和小写金额不一致的，以大写金额为准；</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3、单价金额小数点或者百分比有明显错位的，以报价总表的总价为准，并修改单价；</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4、总价金额与按单价汇总金额不一致的，以单价金额计算结果为准。</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同时出现两种以上不一致的，按照前款规定的顺序修正。修正后的报价按照财政部第87号令第五十一条第二款的规定经供应商确认后产生约束力，供应商不确认的，其响应无效。</w:t>
      </w:r>
    </w:p>
    <w:p>
      <w:pPr>
        <w:tabs>
          <w:tab w:val="left" w:pos="3585"/>
        </w:tabs>
        <w:snapToGrid w:val="0"/>
        <w:spacing w:line="480" w:lineRule="exact"/>
        <w:ind w:firstLine="480"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三、</w:t>
      </w:r>
      <w:r>
        <w:rPr>
          <w:rFonts w:hint="eastAsia" w:ascii="宋体" w:hAnsi="宋体" w:eastAsia="宋体" w:cs="宋体"/>
          <w:b/>
          <w:color w:val="auto"/>
          <w:sz w:val="24"/>
          <w:szCs w:val="24"/>
        </w:rPr>
        <w:t>陈述、演示、</w:t>
      </w:r>
      <w:r>
        <w:rPr>
          <w:rFonts w:hint="eastAsia" w:ascii="宋体" w:hAnsi="宋体" w:eastAsia="宋体" w:cs="宋体"/>
          <w:b/>
          <w:bCs/>
          <w:color w:val="auto"/>
          <w:sz w:val="24"/>
          <w:szCs w:val="24"/>
        </w:rPr>
        <w:t>答疑、澄清</w:t>
      </w:r>
    </w:p>
    <w:p>
      <w:pPr>
        <w:snapToGrid w:val="0"/>
        <w:spacing w:line="480" w:lineRule="exact"/>
        <w:ind w:firstLine="570"/>
        <w:rPr>
          <w:rFonts w:hint="eastAsia" w:ascii="宋体" w:hAnsi="宋体" w:eastAsia="宋体" w:cs="宋体"/>
          <w:b/>
          <w:color w:val="auto"/>
          <w:sz w:val="24"/>
          <w:szCs w:val="24"/>
        </w:rPr>
      </w:pPr>
      <w:r>
        <w:rPr>
          <w:rFonts w:hint="eastAsia" w:ascii="宋体" w:hAnsi="宋体" w:eastAsia="宋体" w:cs="宋体"/>
          <w:color w:val="auto"/>
          <w:sz w:val="24"/>
          <w:szCs w:val="24"/>
          <w:shd w:val="clear" w:color="auto" w:fill="FFFFFF"/>
        </w:rPr>
        <w:t>如磋商小组认为有必要，供应商按磋商小组的要求作陈述、演示、</w:t>
      </w:r>
      <w:r>
        <w:rPr>
          <w:rFonts w:hint="eastAsia" w:ascii="宋体" w:hAnsi="宋体" w:eastAsia="宋体" w:cs="宋体"/>
          <w:color w:val="auto"/>
          <w:sz w:val="24"/>
          <w:szCs w:val="24"/>
        </w:rPr>
        <w:t>答疑及澄清其响应内容。时间由磋商小组掌握。</w:t>
      </w:r>
    </w:p>
    <w:p>
      <w:pPr>
        <w:snapToGrid w:val="0"/>
        <w:spacing w:line="48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重要澄清答复应是书面的，但不得对响应内容进行实质性修改。</w:t>
      </w:r>
    </w:p>
    <w:p>
      <w:pPr>
        <w:snapToGrid w:val="0"/>
        <w:spacing w:line="480" w:lineRule="exact"/>
        <w:ind w:firstLine="570"/>
        <w:rPr>
          <w:rFonts w:hint="eastAsia" w:ascii="宋体" w:hAnsi="宋体" w:eastAsia="宋体" w:cs="宋体"/>
          <w:b/>
          <w:color w:val="auto"/>
          <w:sz w:val="24"/>
          <w:szCs w:val="24"/>
        </w:rPr>
      </w:pPr>
      <w:r>
        <w:rPr>
          <w:rFonts w:hint="eastAsia" w:ascii="宋体" w:hAnsi="宋体" w:eastAsia="宋体" w:cs="宋体"/>
          <w:b/>
          <w:color w:val="auto"/>
          <w:sz w:val="24"/>
          <w:szCs w:val="24"/>
        </w:rPr>
        <w:t>四、出现下列情形之一的，作无效响应处理</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1、响应文件未按采购文件要求密封、签署、盖章及主要资料不齐全或加盖电子签章；</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2、供应商在”鸿雁不见面交易系统”规定的时间内未成功解密电子响应文件的（本项目不适用）；</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3、未完整上传响应文件电子文档的，或上传的文件打不开的（本项目不适用）；</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4、不具备采购文件中规定的资格要求的；</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5、未通过符合性检查的；</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6、报价超过采购文件中规定的预算金额或者最高限价的；</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7、同一供应商提交两个（含两个）以上不同的响应报价的；</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8、报价文件出现在其他响应文件中的；</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9、响应文件含有采购人不能接受的附加条件的；</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10、不符合采购文件中规定的其他实质性要求和条件的；</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11、供应商的商务技术部分得分低于项目</w:t>
      </w:r>
      <w:r>
        <w:rPr>
          <w:rFonts w:hint="eastAsia" w:ascii="宋体" w:hAnsi="宋体" w:cs="宋体"/>
          <w:color w:val="auto"/>
          <w:sz w:val="24"/>
          <w:szCs w:val="24"/>
          <w:lang w:val="en-US" w:eastAsia="zh-CN"/>
        </w:rPr>
        <w:t>商务</w:t>
      </w:r>
      <w:r>
        <w:rPr>
          <w:rFonts w:hint="eastAsia" w:ascii="宋体" w:hAnsi="宋体" w:eastAsia="宋体" w:cs="宋体"/>
          <w:color w:val="auto"/>
          <w:sz w:val="24"/>
          <w:szCs w:val="24"/>
        </w:rPr>
        <w:t>技术标</w:t>
      </w:r>
      <w:r>
        <w:rPr>
          <w:rFonts w:hint="eastAsia" w:ascii="宋体" w:hAnsi="宋体" w:cs="宋体"/>
          <w:color w:val="auto"/>
          <w:sz w:val="24"/>
          <w:szCs w:val="24"/>
          <w:lang w:val="en-US" w:eastAsia="zh-CN"/>
        </w:rPr>
        <w:t>总分</w:t>
      </w:r>
      <w:r>
        <w:rPr>
          <w:rFonts w:hint="eastAsia" w:ascii="宋体" w:hAnsi="宋体" w:eastAsia="宋体" w:cs="宋体"/>
          <w:color w:val="auto"/>
          <w:sz w:val="24"/>
          <w:szCs w:val="24"/>
        </w:rPr>
        <w:t>的50%，视为未实质性响应的；</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12、响应供应商未在规定时间内提交最后报价的；</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磋商小组认为供应商的报价明显低于其他通过符合性审查供应商的报价，有可能影响产品质量或者不能诚信履约的，要求其在合理的时间内提供说明，必要时提交相关证明材料；供应商不能证明其报价合理性的，磋商小组应当将其作为无效响应处理；</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14、其他法律、法规及本采购文件规定的属无效响应的情形。            </w:t>
      </w:r>
    </w:p>
    <w:p>
      <w:pPr>
        <w:snapToGrid w:val="0"/>
        <w:spacing w:line="480" w:lineRule="exact"/>
        <w:ind w:firstLine="570"/>
        <w:rPr>
          <w:rFonts w:hint="eastAsia" w:ascii="宋体" w:hAnsi="宋体" w:eastAsia="宋体" w:cs="宋体"/>
          <w:b/>
          <w:color w:val="auto"/>
          <w:sz w:val="24"/>
          <w:szCs w:val="24"/>
        </w:rPr>
      </w:pPr>
      <w:r>
        <w:rPr>
          <w:rFonts w:hint="eastAsia" w:ascii="宋体" w:hAnsi="宋体" w:eastAsia="宋体" w:cs="宋体"/>
          <w:b/>
          <w:color w:val="auto"/>
          <w:sz w:val="24"/>
          <w:szCs w:val="24"/>
        </w:rPr>
        <w:t>五、出现下列情形之一的，作废标处理</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1、符合专业条件的供应商或者对采购文件作实质响应的供应商不足</w:t>
      </w:r>
      <w:r>
        <w:rPr>
          <w:rFonts w:hint="eastAsia" w:ascii="宋体" w:hAnsi="宋体" w:eastAsia="宋体" w:cs="宋体"/>
          <w:color w:val="auto"/>
          <w:sz w:val="24"/>
          <w:szCs w:val="24"/>
          <w:u w:val="single"/>
        </w:rPr>
        <w:t>3</w:t>
      </w:r>
      <w:r>
        <w:rPr>
          <w:rFonts w:hint="eastAsia" w:ascii="宋体" w:hAnsi="宋体" w:eastAsia="宋体" w:cs="宋体"/>
          <w:color w:val="auto"/>
          <w:sz w:val="24"/>
          <w:szCs w:val="24"/>
        </w:rPr>
        <w:t>家的；</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3、供应商的报价均超过了采购预算，采购人不能支付的；</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4、因重大变故，采购任务取消的；</w:t>
      </w:r>
    </w:p>
    <w:p>
      <w:pPr>
        <w:snapToGrid w:val="0"/>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5、磋商小组认定采购文件存在歧义、重大缺陷导致评审工作无法进行；</w:t>
      </w:r>
    </w:p>
    <w:p>
      <w:pPr>
        <w:snapToGrid w:val="0"/>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6、因系统故障原因造成评审工作无法继续进行的。</w:t>
      </w:r>
    </w:p>
    <w:p>
      <w:pPr>
        <w:snapToGrid w:val="0"/>
        <w:spacing w:line="480" w:lineRule="exact"/>
        <w:ind w:firstLine="555"/>
        <w:rPr>
          <w:rFonts w:hint="eastAsia" w:ascii="宋体" w:hAnsi="宋体" w:eastAsia="宋体" w:cs="宋体"/>
          <w:color w:val="auto"/>
          <w:sz w:val="24"/>
          <w:szCs w:val="24"/>
        </w:rPr>
      </w:pPr>
      <w:r>
        <w:rPr>
          <w:rFonts w:hint="eastAsia" w:ascii="宋体" w:hAnsi="宋体" w:eastAsia="宋体" w:cs="宋体"/>
          <w:color w:val="auto"/>
          <w:sz w:val="24"/>
          <w:szCs w:val="24"/>
        </w:rPr>
        <w:t>上述均保留磋商小组认定可以确定为无效响应或废标的其他情况。</w:t>
      </w:r>
    </w:p>
    <w:p>
      <w:pPr>
        <w:pStyle w:val="214"/>
        <w:snapToGrid w:val="0"/>
        <w:spacing w:before="0" w:after="0" w:line="480" w:lineRule="exact"/>
        <w:ind w:left="0" w:right="0" w:firstLine="480" w:firstLineChars="200"/>
        <w:jc w:val="left"/>
        <w:rPr>
          <w:rFonts w:hint="eastAsia" w:ascii="宋体" w:hAnsi="宋体" w:eastAsia="宋体" w:cs="宋体"/>
          <w:b/>
          <w:color w:val="auto"/>
          <w:szCs w:val="24"/>
        </w:rPr>
      </w:pPr>
      <w:r>
        <w:rPr>
          <w:rFonts w:hint="eastAsia" w:ascii="宋体" w:hAnsi="宋体" w:eastAsia="宋体" w:cs="宋体"/>
          <w:b/>
          <w:bCs/>
          <w:color w:val="auto"/>
          <w:szCs w:val="24"/>
        </w:rPr>
        <w:t>六、</w:t>
      </w:r>
      <w:r>
        <w:rPr>
          <w:rFonts w:hint="eastAsia" w:ascii="宋体" w:hAnsi="宋体" w:eastAsia="宋体" w:cs="宋体"/>
          <w:b/>
          <w:color w:val="auto"/>
          <w:szCs w:val="24"/>
        </w:rPr>
        <w:t>磋商程序及评审方法和标准</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本项目采用综合评分法，经磋商确定最终采购需求和提交最后报价的供应商后，由磋商小组采用综合评分法对提交最后报价的供应商的响应文件和最后报价进行综合评分。评审时，磋商小组各成员独立对每个有效响应的文件进行评价、打分，然后汇总每个供应商每项评分因素的得分。  </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商务技术部分评审结束后进入最后报价环节，最后报价将作为评审价。代理机构宣布最后报价填报通知后，所有的响应供应商须在规定时间内填写并提交最后报价，未在规定时间内提交最后报价的，视作无效响应处理。</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最后报价是供应商响应文件的有效组成部分，提交最后报价的供应商不得少于3家。</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供应商商务、技术部分和价格部分的合计分值，为该供应商的评审总得分。</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评委在认真审阅响应文件的基础上，根据各响应文件的响应程度独立评判，不得统一打分。</w:t>
      </w:r>
    </w:p>
    <w:p>
      <w:pPr>
        <w:snapToGrid w:val="0"/>
        <w:spacing w:line="480" w:lineRule="exact"/>
        <w:ind w:firstLine="57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（一）磋商小组对供应商资格进行审查</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供应商资格不合格的，其响应文件判定为无效响应文件。</w:t>
      </w:r>
    </w:p>
    <w:p>
      <w:pPr>
        <w:snapToGrid w:val="0"/>
        <w:spacing w:line="480" w:lineRule="exact"/>
        <w:ind w:firstLine="57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（二）磋商小组对符合资格供应商的响应文件进行符合性审查</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未通过符合性审查的响应文件，将被判为不满足磋商文件实质性要求。 </w:t>
      </w:r>
    </w:p>
    <w:p>
      <w:pPr>
        <w:snapToGrid w:val="0"/>
        <w:spacing w:line="480" w:lineRule="exact"/>
        <w:ind w:firstLine="57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rPr>
        <w:t>（</w:t>
      </w:r>
      <w:r>
        <w:rPr>
          <w:rFonts w:hint="eastAsia" w:ascii="宋体" w:hAnsi="宋体" w:eastAsia="宋体" w:cs="宋体"/>
          <w:b/>
          <w:color w:val="auto"/>
          <w:kern w:val="0"/>
          <w:sz w:val="24"/>
          <w:szCs w:val="24"/>
          <w:lang w:val="zh-CN"/>
        </w:rPr>
        <w:t>三</w:t>
      </w:r>
      <w:r>
        <w:rPr>
          <w:rFonts w:hint="eastAsia" w:ascii="宋体" w:hAnsi="宋体" w:eastAsia="宋体" w:cs="宋体"/>
          <w:b/>
          <w:color w:val="auto"/>
          <w:kern w:val="0"/>
          <w:sz w:val="24"/>
          <w:szCs w:val="24"/>
        </w:rPr>
        <w:t>）</w:t>
      </w:r>
      <w:r>
        <w:rPr>
          <w:rFonts w:hint="eastAsia" w:ascii="宋体" w:hAnsi="宋体" w:eastAsia="宋体" w:cs="宋体"/>
          <w:b/>
          <w:color w:val="auto"/>
          <w:kern w:val="0"/>
          <w:sz w:val="24"/>
          <w:szCs w:val="24"/>
          <w:lang w:val="zh-CN"/>
        </w:rPr>
        <w:t>商务技术分：</w:t>
      </w:r>
      <w:r>
        <w:rPr>
          <w:rFonts w:hint="eastAsia" w:ascii="宋体" w:hAnsi="宋体" w:cs="宋体"/>
          <w:b/>
          <w:color w:val="auto"/>
          <w:kern w:val="0"/>
          <w:sz w:val="24"/>
          <w:szCs w:val="24"/>
          <w:lang w:val="en-US" w:eastAsia="zh-CN"/>
        </w:rPr>
        <w:t>80</w:t>
      </w:r>
      <w:r>
        <w:rPr>
          <w:rFonts w:hint="eastAsia" w:ascii="宋体" w:hAnsi="宋体" w:eastAsia="宋体" w:cs="宋体"/>
          <w:b/>
          <w:color w:val="auto"/>
          <w:kern w:val="0"/>
          <w:sz w:val="24"/>
          <w:szCs w:val="24"/>
          <w:lang w:val="zh-CN"/>
        </w:rPr>
        <w:t>分</w:t>
      </w:r>
    </w:p>
    <w:p>
      <w:pPr>
        <w:autoSpaceDE w:val="0"/>
        <w:autoSpaceDN w:val="0"/>
        <w:adjustRightInd w:val="0"/>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供应商得分为磋商小组成员评分的算术平均分,分值保留小数点后两位。 </w:t>
      </w:r>
    </w:p>
    <w:p>
      <w:pPr>
        <w:snapToGrid w:val="0"/>
        <w:spacing w:line="480" w:lineRule="exact"/>
        <w:ind w:firstLine="570"/>
        <w:rPr>
          <w:rFonts w:hint="eastAsia" w:ascii="宋体" w:hAnsi="宋体" w:eastAsia="宋体" w:cs="宋体"/>
          <w:b/>
          <w:color w:val="auto"/>
          <w:kern w:val="0"/>
          <w:sz w:val="24"/>
          <w:szCs w:val="24"/>
          <w:vertAlign w:val="baseline"/>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598"/>
        <w:gridCol w:w="1598"/>
        <w:gridCol w:w="4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 w:type="dxa"/>
          </w:tcPr>
          <w:p>
            <w:pPr>
              <w:snapToGrid w:val="0"/>
              <w:spacing w:line="480" w:lineRule="exact"/>
              <w:rPr>
                <w:rFonts w:hint="eastAsia" w:ascii="宋体" w:hAnsi="宋体" w:eastAsia="宋体" w:cs="宋体"/>
                <w:b/>
                <w:color w:val="auto"/>
                <w:kern w:val="0"/>
                <w:sz w:val="24"/>
                <w:szCs w:val="24"/>
                <w:vertAlign w:val="baseline"/>
                <w:lang w:val="en-US" w:eastAsia="zh-CN"/>
              </w:rPr>
            </w:pPr>
            <w:r>
              <w:rPr>
                <w:rFonts w:hint="eastAsia" w:ascii="宋体" w:hAnsi="宋体" w:cs="宋体"/>
                <w:b/>
                <w:color w:val="auto"/>
                <w:kern w:val="0"/>
                <w:sz w:val="24"/>
                <w:szCs w:val="24"/>
                <w:vertAlign w:val="baseline"/>
                <w:lang w:val="en-US" w:eastAsia="zh-CN"/>
              </w:rPr>
              <w:t>序号</w:t>
            </w:r>
          </w:p>
        </w:tc>
        <w:tc>
          <w:tcPr>
            <w:tcW w:w="1598" w:type="dxa"/>
            <w:vAlign w:val="top"/>
          </w:tcPr>
          <w:p>
            <w:pPr>
              <w:snapToGrid w:val="0"/>
              <w:spacing w:line="480" w:lineRule="exact"/>
              <w:rPr>
                <w:rFonts w:hint="eastAsia" w:ascii="宋体" w:hAnsi="宋体" w:eastAsia="宋体" w:cs="宋体"/>
                <w:b/>
                <w:color w:val="auto"/>
                <w:kern w:val="0"/>
                <w:sz w:val="24"/>
                <w:szCs w:val="24"/>
                <w:vertAlign w:val="baseline"/>
                <w:lang w:val="en-US" w:eastAsia="zh-CN" w:bidi="ar-SA"/>
              </w:rPr>
            </w:pPr>
            <w:r>
              <w:rPr>
                <w:rFonts w:hint="eastAsia" w:ascii="宋体" w:hAnsi="宋体" w:cs="宋体"/>
                <w:b/>
                <w:color w:val="auto"/>
                <w:kern w:val="0"/>
                <w:sz w:val="24"/>
                <w:szCs w:val="24"/>
                <w:vertAlign w:val="baseline"/>
                <w:lang w:val="en-US" w:eastAsia="zh-CN"/>
              </w:rPr>
              <w:t>评审因素</w:t>
            </w:r>
          </w:p>
        </w:tc>
        <w:tc>
          <w:tcPr>
            <w:tcW w:w="1598" w:type="dxa"/>
          </w:tcPr>
          <w:p>
            <w:pPr>
              <w:snapToGrid w:val="0"/>
              <w:spacing w:line="480" w:lineRule="exact"/>
              <w:rPr>
                <w:rFonts w:hint="eastAsia" w:ascii="宋体" w:hAnsi="宋体" w:eastAsia="宋体" w:cs="宋体"/>
                <w:b/>
                <w:color w:val="auto"/>
                <w:kern w:val="0"/>
                <w:sz w:val="24"/>
                <w:szCs w:val="24"/>
                <w:vertAlign w:val="baseline"/>
                <w:lang w:val="en-US" w:eastAsia="zh-CN"/>
              </w:rPr>
            </w:pPr>
            <w:r>
              <w:rPr>
                <w:rFonts w:hint="eastAsia" w:ascii="宋体" w:hAnsi="宋体" w:cs="宋体"/>
                <w:b/>
                <w:color w:val="auto"/>
                <w:kern w:val="0"/>
                <w:sz w:val="24"/>
                <w:szCs w:val="24"/>
                <w:vertAlign w:val="baseline"/>
                <w:lang w:val="en-US" w:eastAsia="zh-CN"/>
              </w:rPr>
              <w:t>分值</w:t>
            </w:r>
          </w:p>
        </w:tc>
        <w:tc>
          <w:tcPr>
            <w:tcW w:w="4848" w:type="dxa"/>
          </w:tcPr>
          <w:p>
            <w:pPr>
              <w:snapToGrid w:val="0"/>
              <w:spacing w:line="480" w:lineRule="exact"/>
              <w:rPr>
                <w:rFonts w:hint="eastAsia" w:ascii="宋体" w:hAnsi="宋体" w:eastAsia="宋体" w:cs="宋体"/>
                <w:b/>
                <w:color w:val="auto"/>
                <w:kern w:val="0"/>
                <w:sz w:val="24"/>
                <w:szCs w:val="24"/>
                <w:vertAlign w:val="baseline"/>
                <w:lang w:val="en-US" w:eastAsia="zh-CN"/>
              </w:rPr>
            </w:pPr>
            <w:r>
              <w:rPr>
                <w:rFonts w:hint="eastAsia" w:ascii="宋体" w:hAnsi="宋体" w:cs="宋体"/>
                <w:b/>
                <w:color w:val="auto"/>
                <w:kern w:val="0"/>
                <w:sz w:val="24"/>
                <w:szCs w:val="24"/>
                <w:vertAlign w:val="baseline"/>
                <w:lang w:val="en-US"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 w:type="dxa"/>
          </w:tcPr>
          <w:p>
            <w:pPr>
              <w:snapToGrid w:val="0"/>
              <w:spacing w:line="480" w:lineRule="exact"/>
              <w:rPr>
                <w:rFonts w:hint="eastAsia" w:ascii="宋体" w:hAnsi="宋体" w:eastAsia="宋体" w:cs="宋体"/>
                <w:b w:val="0"/>
                <w:bCs/>
                <w:color w:val="auto"/>
                <w:kern w:val="0"/>
                <w:sz w:val="24"/>
                <w:szCs w:val="24"/>
                <w:vertAlign w:val="baseline"/>
                <w:lang w:val="en-US" w:eastAsia="zh-CN"/>
              </w:rPr>
            </w:pPr>
            <w:r>
              <w:rPr>
                <w:rFonts w:hint="eastAsia" w:ascii="宋体" w:hAnsi="宋体" w:cs="宋体"/>
                <w:b w:val="0"/>
                <w:bCs/>
                <w:color w:val="auto"/>
                <w:kern w:val="0"/>
                <w:sz w:val="24"/>
                <w:szCs w:val="24"/>
                <w:vertAlign w:val="baseline"/>
                <w:lang w:val="en-US" w:eastAsia="zh-CN"/>
              </w:rPr>
              <w:t>1</w:t>
            </w:r>
          </w:p>
        </w:tc>
        <w:tc>
          <w:tcPr>
            <w:tcW w:w="1598" w:type="dxa"/>
            <w:vAlign w:val="top"/>
          </w:tcPr>
          <w:p>
            <w:pPr>
              <w:snapToGrid w:val="0"/>
              <w:spacing w:line="480" w:lineRule="exact"/>
              <w:rPr>
                <w:rFonts w:hint="eastAsia" w:ascii="宋体" w:hAnsi="宋体" w:eastAsia="宋体" w:cs="宋体"/>
                <w:b w:val="0"/>
                <w:bCs/>
                <w:color w:val="auto"/>
                <w:kern w:val="0"/>
                <w:sz w:val="24"/>
                <w:szCs w:val="24"/>
                <w:vertAlign w:val="baseline"/>
                <w:lang w:val="en-US" w:eastAsia="zh-CN" w:bidi="ar-SA"/>
              </w:rPr>
            </w:pPr>
            <w:r>
              <w:rPr>
                <w:rFonts w:hint="eastAsia" w:ascii="宋体" w:hAnsi="宋体" w:cs="宋体"/>
                <w:b w:val="0"/>
                <w:bCs/>
                <w:color w:val="auto"/>
                <w:kern w:val="0"/>
                <w:sz w:val="24"/>
                <w:szCs w:val="24"/>
                <w:vertAlign w:val="baseline"/>
                <w:lang w:val="en-US" w:eastAsia="zh-CN"/>
              </w:rPr>
              <w:t>业绩</w:t>
            </w:r>
          </w:p>
        </w:tc>
        <w:tc>
          <w:tcPr>
            <w:tcW w:w="1598" w:type="dxa"/>
          </w:tcPr>
          <w:p>
            <w:pPr>
              <w:snapToGrid w:val="0"/>
              <w:spacing w:line="480" w:lineRule="exact"/>
              <w:rPr>
                <w:rFonts w:hint="default" w:ascii="宋体" w:hAnsi="宋体" w:eastAsia="宋体" w:cs="宋体"/>
                <w:b w:val="0"/>
                <w:bCs/>
                <w:color w:val="auto"/>
                <w:kern w:val="0"/>
                <w:sz w:val="24"/>
                <w:szCs w:val="24"/>
                <w:vertAlign w:val="baseline"/>
                <w:lang w:val="en-US" w:eastAsia="zh-CN"/>
              </w:rPr>
            </w:pPr>
            <w:r>
              <w:rPr>
                <w:rFonts w:hint="eastAsia" w:ascii="宋体" w:hAnsi="宋体" w:cs="宋体"/>
                <w:b w:val="0"/>
                <w:bCs/>
                <w:color w:val="auto"/>
                <w:kern w:val="0"/>
                <w:sz w:val="24"/>
                <w:szCs w:val="24"/>
                <w:vertAlign w:val="baseline"/>
                <w:lang w:val="en-US" w:eastAsia="zh-CN"/>
              </w:rPr>
              <w:t>20分</w:t>
            </w:r>
          </w:p>
        </w:tc>
        <w:tc>
          <w:tcPr>
            <w:tcW w:w="4848" w:type="dxa"/>
          </w:tcPr>
          <w:p>
            <w:pPr>
              <w:snapToGrid w:val="0"/>
              <w:spacing w:line="480" w:lineRule="exact"/>
              <w:rPr>
                <w:rFonts w:hint="eastAsia" w:ascii="宋体" w:hAnsi="宋体" w:cs="宋体"/>
                <w:b w:val="0"/>
                <w:bCs/>
                <w:color w:val="auto"/>
                <w:kern w:val="0"/>
                <w:sz w:val="24"/>
                <w:szCs w:val="24"/>
                <w:vertAlign w:val="baseline"/>
                <w:lang w:val="en-US" w:eastAsia="zh-CN"/>
              </w:rPr>
            </w:pPr>
            <w:r>
              <w:rPr>
                <w:rFonts w:hint="eastAsia" w:ascii="宋体" w:hAnsi="宋体" w:eastAsia="宋体" w:cs="宋体"/>
                <w:b w:val="0"/>
                <w:bCs/>
                <w:color w:val="auto"/>
                <w:kern w:val="0"/>
                <w:sz w:val="24"/>
                <w:szCs w:val="24"/>
                <w:vertAlign w:val="baseline"/>
              </w:rPr>
              <w:t>供应商提供自2022年1月1日以来承担过政府类安全生产技术服务项目业绩证明，</w:t>
            </w:r>
            <w:r>
              <w:rPr>
                <w:rFonts w:hint="eastAsia" w:ascii="宋体" w:hAnsi="宋体" w:cs="宋体"/>
                <w:b w:val="0"/>
                <w:bCs/>
                <w:color w:val="auto"/>
                <w:kern w:val="0"/>
                <w:sz w:val="24"/>
                <w:szCs w:val="24"/>
                <w:vertAlign w:val="baseline"/>
                <w:lang w:val="en-US" w:eastAsia="zh-CN"/>
              </w:rPr>
              <w:t>每提供一份合同及政府盖章的评价表得4分，本项最高得20分。</w:t>
            </w:r>
          </w:p>
          <w:p>
            <w:pPr>
              <w:snapToGrid w:val="0"/>
              <w:spacing w:line="480" w:lineRule="exact"/>
              <w:rPr>
                <w:rFonts w:hint="default" w:ascii="宋体" w:hAnsi="宋体" w:eastAsia="宋体" w:cs="宋体"/>
                <w:b w:val="0"/>
                <w:bCs/>
                <w:color w:val="auto"/>
                <w:kern w:val="0"/>
                <w:sz w:val="24"/>
                <w:szCs w:val="24"/>
                <w:vertAlign w:val="baseline"/>
                <w:lang w:val="en-US" w:eastAsia="zh-CN"/>
              </w:rPr>
            </w:pPr>
            <w:r>
              <w:rPr>
                <w:rFonts w:hint="eastAsia" w:ascii="宋体" w:hAnsi="宋体" w:cs="宋体"/>
                <w:b w:val="0"/>
                <w:bCs/>
                <w:color w:val="auto"/>
                <w:kern w:val="0"/>
                <w:sz w:val="24"/>
                <w:szCs w:val="24"/>
                <w:vertAlign w:val="baseline"/>
                <w:lang w:val="en-US" w:eastAsia="zh-CN"/>
              </w:rPr>
              <w:t>注：</w:t>
            </w:r>
            <w:r>
              <w:rPr>
                <w:rFonts w:hint="eastAsia" w:ascii="宋体" w:hAnsi="宋体" w:eastAsia="宋体" w:cs="宋体"/>
                <w:b w:val="0"/>
                <w:bCs/>
                <w:color w:val="auto"/>
                <w:kern w:val="0"/>
                <w:sz w:val="24"/>
                <w:szCs w:val="24"/>
                <w:vertAlign w:val="baseline"/>
              </w:rPr>
              <w:t>提供合同复印件</w:t>
            </w:r>
            <w:r>
              <w:rPr>
                <w:rFonts w:hint="eastAsia" w:ascii="宋体" w:hAnsi="宋体" w:cs="宋体"/>
                <w:b w:val="0"/>
                <w:bCs/>
                <w:color w:val="auto"/>
                <w:kern w:val="0"/>
                <w:sz w:val="24"/>
                <w:szCs w:val="24"/>
                <w:vertAlign w:val="baseline"/>
                <w:lang w:val="en-US" w:eastAsia="zh-CN"/>
              </w:rPr>
              <w:t>及政府盖章的评价表</w:t>
            </w:r>
            <w:r>
              <w:rPr>
                <w:rFonts w:hint="eastAsia" w:ascii="宋体" w:hAnsi="宋体" w:eastAsia="宋体" w:cs="宋体"/>
                <w:b w:val="0"/>
                <w:bCs/>
                <w:color w:val="auto"/>
                <w:kern w:val="0"/>
                <w:sz w:val="24"/>
                <w:szCs w:val="24"/>
                <w:vertAlign w:val="baseline"/>
              </w:rPr>
              <w:t>，以合同签订时间为准，如合同无法体现签订时间，则还需提供业主单位盖章的证明材料。</w:t>
            </w:r>
            <w:r>
              <w:rPr>
                <w:rFonts w:hint="eastAsia" w:ascii="宋体" w:hAnsi="宋体" w:cs="宋体"/>
                <w:b w:val="0"/>
                <w:bCs/>
                <w:color w:val="auto"/>
                <w:kern w:val="0"/>
                <w:sz w:val="24"/>
                <w:szCs w:val="24"/>
                <w:vertAlign w:val="baseline"/>
                <w:lang w:val="en-US" w:eastAsia="zh-CN"/>
              </w:rPr>
              <w:t>资料提供不全不得分。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 w:type="dxa"/>
          </w:tcPr>
          <w:p>
            <w:pPr>
              <w:snapToGrid w:val="0"/>
              <w:spacing w:line="480" w:lineRule="exact"/>
              <w:rPr>
                <w:rFonts w:hint="eastAsia" w:ascii="宋体" w:hAnsi="宋体" w:eastAsia="宋体" w:cs="宋体"/>
                <w:b/>
                <w:color w:val="auto"/>
                <w:kern w:val="0"/>
                <w:sz w:val="24"/>
                <w:szCs w:val="24"/>
                <w:vertAlign w:val="baseline"/>
                <w:lang w:val="en-US" w:eastAsia="zh-CN"/>
              </w:rPr>
            </w:pPr>
            <w:r>
              <w:rPr>
                <w:rFonts w:hint="eastAsia" w:ascii="宋体" w:hAnsi="宋体" w:cs="宋体"/>
                <w:b/>
                <w:color w:val="auto"/>
                <w:kern w:val="0"/>
                <w:sz w:val="24"/>
                <w:szCs w:val="24"/>
                <w:vertAlign w:val="baseline"/>
                <w:lang w:val="en-US" w:eastAsia="zh-CN"/>
              </w:rPr>
              <w:t>2</w:t>
            </w:r>
          </w:p>
        </w:tc>
        <w:tc>
          <w:tcPr>
            <w:tcW w:w="1598" w:type="dxa"/>
          </w:tcPr>
          <w:p>
            <w:pPr>
              <w:snapToGrid w:val="0"/>
              <w:spacing w:line="480" w:lineRule="exact"/>
              <w:rPr>
                <w:rFonts w:hint="eastAsia" w:ascii="宋体" w:hAnsi="宋体" w:eastAsia="宋体" w:cs="宋体"/>
                <w:b/>
                <w:color w:val="auto"/>
                <w:kern w:val="0"/>
                <w:sz w:val="24"/>
                <w:szCs w:val="24"/>
                <w:vertAlign w:val="baseline"/>
                <w:lang w:val="en-US" w:eastAsia="zh-CN"/>
              </w:rPr>
            </w:pPr>
            <w:r>
              <w:rPr>
                <w:rFonts w:hint="eastAsia" w:ascii="宋体" w:hAnsi="宋体" w:cs="宋体"/>
                <w:b/>
                <w:color w:val="auto"/>
                <w:kern w:val="0"/>
                <w:sz w:val="24"/>
                <w:szCs w:val="24"/>
                <w:vertAlign w:val="baseline"/>
                <w:lang w:val="en-US" w:eastAsia="zh-CN"/>
              </w:rPr>
              <w:t>拟派人员</w:t>
            </w:r>
          </w:p>
        </w:tc>
        <w:tc>
          <w:tcPr>
            <w:tcW w:w="1598" w:type="dxa"/>
          </w:tcPr>
          <w:p>
            <w:pPr>
              <w:snapToGrid w:val="0"/>
              <w:spacing w:line="480" w:lineRule="exact"/>
              <w:rPr>
                <w:rFonts w:hint="default" w:ascii="宋体" w:hAnsi="宋体" w:eastAsia="宋体" w:cs="宋体"/>
                <w:b/>
                <w:color w:val="auto"/>
                <w:kern w:val="0"/>
                <w:sz w:val="24"/>
                <w:szCs w:val="24"/>
                <w:vertAlign w:val="baseline"/>
                <w:lang w:val="en-US" w:eastAsia="zh-CN"/>
              </w:rPr>
            </w:pPr>
            <w:r>
              <w:rPr>
                <w:rFonts w:hint="eastAsia" w:ascii="宋体" w:hAnsi="宋体" w:cs="宋体"/>
                <w:b/>
                <w:color w:val="auto"/>
                <w:kern w:val="0"/>
                <w:sz w:val="24"/>
                <w:szCs w:val="24"/>
                <w:vertAlign w:val="baseline"/>
                <w:lang w:val="en-US" w:eastAsia="zh-CN"/>
              </w:rPr>
              <w:t>20分</w:t>
            </w:r>
          </w:p>
        </w:tc>
        <w:tc>
          <w:tcPr>
            <w:tcW w:w="4848" w:type="dxa"/>
          </w:tcPr>
          <w:p>
            <w:pPr>
              <w:snapToGrid w:val="0"/>
              <w:spacing w:line="480" w:lineRule="exact"/>
              <w:rPr>
                <w:rFonts w:hint="eastAsia" w:ascii="宋体" w:hAnsi="宋体" w:eastAsia="宋体" w:cs="宋体"/>
                <w:b w:val="0"/>
                <w:bCs/>
                <w:color w:val="auto"/>
                <w:kern w:val="0"/>
                <w:sz w:val="24"/>
                <w:szCs w:val="24"/>
                <w:vertAlign w:val="baseline"/>
              </w:rPr>
            </w:pPr>
            <w:r>
              <w:rPr>
                <w:rFonts w:hint="eastAsia" w:ascii="宋体" w:hAnsi="宋体" w:cs="宋体"/>
                <w:b w:val="0"/>
                <w:bCs/>
                <w:color w:val="auto"/>
                <w:kern w:val="0"/>
                <w:sz w:val="24"/>
                <w:szCs w:val="24"/>
                <w:vertAlign w:val="baseline"/>
                <w:lang w:val="en-US" w:eastAsia="zh-CN"/>
              </w:rPr>
              <w:t>1、拟派人员</w:t>
            </w:r>
            <w:r>
              <w:rPr>
                <w:rFonts w:hint="eastAsia" w:ascii="宋体" w:hAnsi="宋体" w:eastAsia="宋体" w:cs="宋体"/>
                <w:b w:val="0"/>
                <w:bCs/>
                <w:color w:val="auto"/>
                <w:kern w:val="0"/>
                <w:sz w:val="24"/>
                <w:szCs w:val="24"/>
                <w:vertAlign w:val="baseline"/>
              </w:rPr>
              <w:t>为地市级及以上安全生产专家库成员的，有一个得 4 分，本项最高得</w:t>
            </w:r>
            <w:r>
              <w:rPr>
                <w:rFonts w:hint="eastAsia" w:ascii="宋体" w:hAnsi="宋体" w:cs="宋体"/>
                <w:b w:val="0"/>
                <w:bCs/>
                <w:color w:val="auto"/>
                <w:kern w:val="0"/>
                <w:sz w:val="24"/>
                <w:szCs w:val="24"/>
                <w:vertAlign w:val="baseline"/>
                <w:lang w:val="en-US" w:eastAsia="zh-CN"/>
              </w:rPr>
              <w:t>12</w:t>
            </w:r>
            <w:r>
              <w:rPr>
                <w:rFonts w:hint="eastAsia" w:ascii="宋体" w:hAnsi="宋体" w:eastAsia="宋体" w:cs="宋体"/>
                <w:b w:val="0"/>
                <w:bCs/>
                <w:color w:val="auto"/>
                <w:kern w:val="0"/>
                <w:sz w:val="24"/>
                <w:szCs w:val="24"/>
                <w:vertAlign w:val="baseline"/>
              </w:rPr>
              <w:t>分:</w:t>
            </w:r>
          </w:p>
          <w:p>
            <w:pPr>
              <w:snapToGrid w:val="0"/>
              <w:spacing w:line="480" w:lineRule="exact"/>
              <w:rPr>
                <w:rFonts w:hint="eastAsia" w:ascii="宋体" w:hAnsi="宋体" w:cs="宋体"/>
                <w:b w:val="0"/>
                <w:bCs/>
                <w:color w:val="auto"/>
                <w:kern w:val="0"/>
                <w:sz w:val="24"/>
                <w:szCs w:val="24"/>
                <w:vertAlign w:val="baseline"/>
                <w:lang w:eastAsia="zh-CN"/>
              </w:rPr>
            </w:pPr>
            <w:r>
              <w:rPr>
                <w:rFonts w:hint="eastAsia" w:ascii="宋体" w:hAnsi="宋体" w:cs="宋体"/>
                <w:b w:val="0"/>
                <w:bCs/>
                <w:color w:val="auto"/>
                <w:kern w:val="0"/>
                <w:sz w:val="24"/>
                <w:szCs w:val="24"/>
                <w:vertAlign w:val="baseline"/>
                <w:lang w:eastAsia="zh-CN"/>
              </w:rPr>
              <w:t>2、</w:t>
            </w:r>
            <w:r>
              <w:rPr>
                <w:rFonts w:hint="eastAsia" w:ascii="宋体" w:hAnsi="宋体" w:cs="宋体"/>
                <w:bCs/>
                <w:color w:val="auto"/>
                <w:kern w:val="0"/>
                <w:sz w:val="24"/>
                <w:szCs w:val="24"/>
                <w:lang w:val="en-US" w:eastAsia="zh-CN"/>
              </w:rPr>
              <w:t>拟派人员中</w:t>
            </w:r>
            <w:r>
              <w:rPr>
                <w:rFonts w:hint="eastAsia" w:ascii="宋体" w:hAnsi="宋体" w:eastAsia="宋体" w:cs="宋体"/>
                <w:b w:val="0"/>
                <w:bCs/>
                <w:color w:val="auto"/>
                <w:kern w:val="0"/>
                <w:sz w:val="24"/>
                <w:szCs w:val="24"/>
                <w:vertAlign w:val="baseline"/>
              </w:rPr>
              <w:t>同一个人既具备中级</w:t>
            </w:r>
            <w:r>
              <w:rPr>
                <w:rFonts w:hint="eastAsia" w:ascii="宋体" w:hAnsi="宋体" w:cs="宋体"/>
                <w:b w:val="0"/>
                <w:bCs/>
                <w:color w:val="auto"/>
                <w:kern w:val="0"/>
                <w:sz w:val="24"/>
                <w:szCs w:val="24"/>
                <w:vertAlign w:val="baseline"/>
                <w:lang w:val="en-US" w:eastAsia="zh-CN"/>
              </w:rPr>
              <w:t>及以上</w:t>
            </w:r>
            <w:r>
              <w:rPr>
                <w:rFonts w:hint="eastAsia" w:ascii="宋体" w:hAnsi="宋体" w:eastAsia="宋体" w:cs="宋体"/>
                <w:b w:val="0"/>
                <w:bCs/>
                <w:color w:val="auto"/>
                <w:kern w:val="0"/>
                <w:sz w:val="24"/>
                <w:szCs w:val="24"/>
                <w:vertAlign w:val="baseline"/>
              </w:rPr>
              <w:t>注册安全工程师，又具备注册消防工程师或安全评价师资格，有</w:t>
            </w:r>
            <w:r>
              <w:rPr>
                <w:rFonts w:hint="eastAsia" w:ascii="宋体" w:hAnsi="宋体" w:cs="宋体"/>
                <w:b w:val="0"/>
                <w:bCs/>
                <w:color w:val="auto"/>
                <w:kern w:val="0"/>
                <w:sz w:val="24"/>
                <w:szCs w:val="24"/>
                <w:vertAlign w:val="baseline"/>
                <w:lang w:eastAsia="zh-CN"/>
              </w:rPr>
              <w:t>1</w:t>
            </w:r>
            <w:r>
              <w:rPr>
                <w:rFonts w:hint="eastAsia" w:ascii="宋体" w:hAnsi="宋体" w:cs="宋体"/>
                <w:b w:val="0"/>
                <w:bCs/>
                <w:color w:val="auto"/>
                <w:kern w:val="0"/>
                <w:sz w:val="24"/>
                <w:szCs w:val="24"/>
                <w:vertAlign w:val="baseline"/>
                <w:lang w:val="en-US" w:eastAsia="zh-CN"/>
              </w:rPr>
              <w:t>个得</w:t>
            </w:r>
            <w:r>
              <w:rPr>
                <w:rFonts w:hint="eastAsia" w:ascii="宋体" w:hAnsi="宋体" w:cs="宋体"/>
                <w:b w:val="0"/>
                <w:bCs/>
                <w:color w:val="auto"/>
                <w:kern w:val="0"/>
                <w:sz w:val="24"/>
                <w:szCs w:val="24"/>
                <w:vertAlign w:val="baseline"/>
                <w:lang w:eastAsia="zh-CN"/>
              </w:rPr>
              <w:t>4</w:t>
            </w:r>
            <w:r>
              <w:rPr>
                <w:rFonts w:hint="eastAsia" w:ascii="宋体" w:hAnsi="宋体" w:eastAsia="宋体" w:cs="宋体"/>
                <w:b w:val="0"/>
                <w:bCs/>
                <w:color w:val="auto"/>
                <w:kern w:val="0"/>
                <w:sz w:val="24"/>
                <w:szCs w:val="24"/>
                <w:vertAlign w:val="baseline"/>
              </w:rPr>
              <w:t>分，</w:t>
            </w:r>
            <w:r>
              <w:rPr>
                <w:rFonts w:hint="eastAsia" w:ascii="宋体" w:hAnsi="宋体" w:cs="宋体"/>
                <w:b w:val="0"/>
                <w:bCs/>
                <w:color w:val="auto"/>
                <w:kern w:val="0"/>
                <w:sz w:val="24"/>
                <w:szCs w:val="24"/>
                <w:vertAlign w:val="baseline"/>
                <w:lang w:val="en-US" w:eastAsia="zh-CN"/>
              </w:rPr>
              <w:t>如此人</w:t>
            </w:r>
            <w:r>
              <w:rPr>
                <w:rFonts w:hint="eastAsia" w:ascii="宋体" w:hAnsi="宋体" w:eastAsia="宋体" w:cs="宋体"/>
                <w:b w:val="0"/>
                <w:bCs/>
                <w:color w:val="auto"/>
                <w:kern w:val="0"/>
                <w:sz w:val="24"/>
                <w:szCs w:val="24"/>
                <w:vertAlign w:val="baseline"/>
              </w:rPr>
              <w:t>具备</w:t>
            </w:r>
            <w:r>
              <w:rPr>
                <w:rFonts w:hint="eastAsia" w:ascii="宋体" w:hAnsi="宋体" w:cs="宋体"/>
                <w:b w:val="0"/>
                <w:bCs/>
                <w:color w:val="auto"/>
                <w:kern w:val="0"/>
                <w:sz w:val="24"/>
                <w:szCs w:val="24"/>
                <w:vertAlign w:val="baseline"/>
                <w:lang w:val="en-US" w:eastAsia="zh-CN"/>
              </w:rPr>
              <w:t>的是高级</w:t>
            </w:r>
            <w:r>
              <w:rPr>
                <w:rFonts w:hint="eastAsia" w:ascii="宋体" w:hAnsi="宋体" w:eastAsia="宋体" w:cs="宋体"/>
                <w:b w:val="0"/>
                <w:bCs/>
                <w:color w:val="auto"/>
                <w:kern w:val="0"/>
                <w:sz w:val="24"/>
                <w:szCs w:val="24"/>
                <w:vertAlign w:val="baseline"/>
              </w:rPr>
              <w:t>注册安全工程师</w:t>
            </w:r>
            <w:r>
              <w:rPr>
                <w:rFonts w:hint="eastAsia" w:ascii="宋体" w:hAnsi="宋体" w:cs="宋体"/>
                <w:b w:val="0"/>
                <w:bCs/>
                <w:color w:val="auto"/>
                <w:kern w:val="0"/>
                <w:sz w:val="24"/>
                <w:szCs w:val="24"/>
                <w:vertAlign w:val="baseline"/>
                <w:lang w:val="en-US" w:eastAsia="zh-CN"/>
              </w:rPr>
              <w:t>证书</w:t>
            </w:r>
            <w:r>
              <w:rPr>
                <w:rFonts w:hint="eastAsia" w:ascii="宋体" w:hAnsi="宋体" w:eastAsia="宋体" w:cs="宋体"/>
                <w:b w:val="0"/>
                <w:bCs/>
                <w:color w:val="auto"/>
                <w:kern w:val="0"/>
                <w:sz w:val="24"/>
                <w:szCs w:val="24"/>
                <w:vertAlign w:val="baseline"/>
              </w:rPr>
              <w:t xml:space="preserve"> </w:t>
            </w:r>
            <w:r>
              <w:rPr>
                <w:rFonts w:hint="eastAsia" w:ascii="宋体" w:hAnsi="宋体" w:cs="宋体"/>
                <w:b w:val="0"/>
                <w:bCs/>
                <w:color w:val="auto"/>
                <w:kern w:val="0"/>
                <w:sz w:val="24"/>
                <w:szCs w:val="24"/>
                <w:vertAlign w:val="baseline"/>
                <w:lang w:eastAsia="zh-CN"/>
              </w:rPr>
              <w:t>，</w:t>
            </w:r>
            <w:r>
              <w:rPr>
                <w:rFonts w:hint="eastAsia" w:ascii="宋体" w:hAnsi="宋体" w:cs="宋体"/>
                <w:b w:val="0"/>
                <w:bCs/>
                <w:color w:val="auto"/>
                <w:kern w:val="0"/>
                <w:sz w:val="24"/>
                <w:szCs w:val="24"/>
                <w:vertAlign w:val="baseline"/>
                <w:lang w:val="en-US" w:eastAsia="zh-CN"/>
              </w:rPr>
              <w:t>另</w:t>
            </w:r>
            <w:r>
              <w:rPr>
                <w:rFonts w:hint="eastAsia" w:ascii="宋体" w:hAnsi="宋体" w:eastAsia="宋体" w:cs="宋体"/>
                <w:b w:val="0"/>
                <w:bCs/>
                <w:color w:val="auto"/>
                <w:kern w:val="0"/>
                <w:sz w:val="24"/>
                <w:szCs w:val="24"/>
                <w:vertAlign w:val="baseline"/>
              </w:rPr>
              <w:t>加 4 分。本项最高得</w:t>
            </w:r>
            <w:r>
              <w:rPr>
                <w:rFonts w:hint="eastAsia" w:ascii="宋体" w:hAnsi="宋体" w:cs="宋体"/>
                <w:b w:val="0"/>
                <w:bCs/>
                <w:color w:val="auto"/>
                <w:kern w:val="0"/>
                <w:sz w:val="24"/>
                <w:szCs w:val="24"/>
                <w:vertAlign w:val="baseline"/>
                <w:lang w:val="en-US" w:eastAsia="zh-CN"/>
              </w:rPr>
              <w:t>8</w:t>
            </w:r>
            <w:r>
              <w:rPr>
                <w:rFonts w:hint="eastAsia" w:ascii="宋体" w:hAnsi="宋体" w:eastAsia="宋体" w:cs="宋体"/>
                <w:b w:val="0"/>
                <w:bCs/>
                <w:color w:val="auto"/>
                <w:kern w:val="0"/>
                <w:sz w:val="24"/>
                <w:szCs w:val="24"/>
                <w:vertAlign w:val="baseline"/>
              </w:rPr>
              <w:t>分</w:t>
            </w:r>
            <w:r>
              <w:rPr>
                <w:rFonts w:hint="eastAsia" w:ascii="宋体" w:hAnsi="宋体" w:cs="宋体"/>
                <w:b w:val="0"/>
                <w:bCs/>
                <w:color w:val="auto"/>
                <w:kern w:val="0"/>
                <w:sz w:val="24"/>
                <w:szCs w:val="24"/>
                <w:vertAlign w:val="baseline"/>
                <w:lang w:eastAsia="zh-CN"/>
              </w:rPr>
              <w:t>。</w:t>
            </w:r>
          </w:p>
          <w:p>
            <w:pPr>
              <w:snapToGrid w:val="0"/>
              <w:spacing w:line="480" w:lineRule="exact"/>
              <w:rPr>
                <w:rFonts w:hint="eastAsia"/>
                <w:color w:val="auto"/>
                <w:lang w:eastAsia="zh-CN"/>
              </w:rPr>
            </w:pPr>
            <w:r>
              <w:rPr>
                <w:rFonts w:hint="eastAsia" w:ascii="宋体" w:hAnsi="宋体" w:cs="宋体"/>
                <w:b w:val="0"/>
                <w:bCs/>
                <w:color w:val="auto"/>
                <w:kern w:val="0"/>
                <w:sz w:val="24"/>
                <w:szCs w:val="24"/>
                <w:vertAlign w:val="baseline"/>
                <w:lang w:val="en-US" w:eastAsia="zh-CN"/>
              </w:rPr>
              <w:t>注：</w:t>
            </w:r>
            <w:r>
              <w:rPr>
                <w:rFonts w:hint="eastAsia" w:ascii="宋体" w:hAnsi="宋体" w:eastAsia="宋体" w:cs="宋体"/>
                <w:b w:val="0"/>
                <w:bCs/>
                <w:color w:val="auto"/>
                <w:kern w:val="0"/>
                <w:sz w:val="24"/>
                <w:szCs w:val="24"/>
                <w:vertAlign w:val="baseline"/>
              </w:rPr>
              <w:t>以上人员提供相关资格证书复印件及原件备查:专家提供专家库人员列表或任命文件，或专家证书、证件，</w:t>
            </w:r>
            <w:r>
              <w:rPr>
                <w:rFonts w:hint="eastAsia" w:ascii="宋体" w:hAnsi="宋体" w:cs="宋体"/>
                <w:b w:val="0"/>
                <w:bCs/>
                <w:color w:val="auto"/>
                <w:kern w:val="0"/>
                <w:sz w:val="24"/>
                <w:szCs w:val="24"/>
                <w:vertAlign w:val="baseline"/>
                <w:lang w:val="en-US" w:eastAsia="zh-CN"/>
              </w:rPr>
              <w:t>同时</w:t>
            </w:r>
            <w:r>
              <w:rPr>
                <w:rFonts w:hint="eastAsia" w:ascii="宋体" w:hAnsi="宋体" w:eastAsia="宋体" w:cs="宋体"/>
                <w:b w:val="0"/>
                <w:bCs/>
                <w:color w:val="auto"/>
                <w:kern w:val="0"/>
                <w:sz w:val="24"/>
                <w:szCs w:val="24"/>
                <w:vertAlign w:val="baseline"/>
              </w:rPr>
              <w:t>提供</w:t>
            </w:r>
            <w:r>
              <w:rPr>
                <w:rFonts w:hint="eastAsia" w:ascii="宋体" w:hAnsi="宋体" w:cs="宋体"/>
                <w:b w:val="0"/>
                <w:bCs/>
                <w:color w:val="auto"/>
                <w:kern w:val="0"/>
                <w:sz w:val="24"/>
                <w:szCs w:val="24"/>
                <w:vertAlign w:val="baseline"/>
                <w:lang w:val="en-US" w:eastAsia="zh-CN"/>
              </w:rPr>
              <w:t>供应商</w:t>
            </w:r>
            <w:r>
              <w:rPr>
                <w:rFonts w:hint="eastAsia" w:ascii="宋体" w:hAnsi="宋体" w:eastAsia="宋体" w:cs="宋体"/>
                <w:b w:val="0"/>
                <w:bCs/>
                <w:color w:val="auto"/>
                <w:kern w:val="0"/>
                <w:sz w:val="24"/>
                <w:szCs w:val="24"/>
                <w:vertAlign w:val="baseline"/>
              </w:rPr>
              <w:t>为以上人员缴纳</w:t>
            </w:r>
            <w:r>
              <w:rPr>
                <w:rFonts w:hint="eastAsia" w:ascii="宋体" w:hAnsi="宋体" w:cs="宋体"/>
                <w:b w:val="0"/>
                <w:bCs/>
                <w:color w:val="auto"/>
                <w:kern w:val="0"/>
                <w:sz w:val="24"/>
                <w:szCs w:val="24"/>
                <w:vertAlign w:val="baseline"/>
                <w:lang w:val="en-US" w:eastAsia="zh-CN"/>
              </w:rPr>
              <w:t>的2025年3月-2025年5月任意</w:t>
            </w:r>
            <w:r>
              <w:rPr>
                <w:rFonts w:hint="eastAsia" w:ascii="宋体" w:hAnsi="宋体" w:eastAsia="宋体" w:cs="宋体"/>
                <w:b w:val="0"/>
                <w:bCs/>
                <w:color w:val="auto"/>
                <w:kern w:val="0"/>
                <w:sz w:val="24"/>
                <w:szCs w:val="24"/>
                <w:vertAlign w:val="baseline"/>
              </w:rPr>
              <w:t>一个月的社保证明，若为退休人员，请提供退休证明及与</w:t>
            </w:r>
            <w:r>
              <w:rPr>
                <w:rFonts w:hint="eastAsia" w:ascii="宋体" w:hAnsi="宋体" w:cs="宋体"/>
                <w:b w:val="0"/>
                <w:bCs/>
                <w:color w:val="auto"/>
                <w:kern w:val="0"/>
                <w:sz w:val="24"/>
                <w:szCs w:val="24"/>
                <w:vertAlign w:val="baseline"/>
                <w:lang w:val="en-US" w:eastAsia="zh-CN"/>
              </w:rPr>
              <w:t>供应商</w:t>
            </w:r>
            <w:r>
              <w:rPr>
                <w:rFonts w:hint="eastAsia" w:ascii="宋体" w:hAnsi="宋体" w:eastAsia="宋体" w:cs="宋体"/>
                <w:b w:val="0"/>
                <w:bCs/>
                <w:color w:val="auto"/>
                <w:kern w:val="0"/>
                <w:sz w:val="24"/>
                <w:szCs w:val="24"/>
                <w:vertAlign w:val="baseline"/>
              </w:rPr>
              <w:t>签订的退休返聘协议，否则不得分。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 w:type="dxa"/>
          </w:tcPr>
          <w:p>
            <w:pPr>
              <w:snapToGrid w:val="0"/>
              <w:spacing w:line="480" w:lineRule="exact"/>
              <w:rPr>
                <w:rFonts w:hint="eastAsia" w:ascii="宋体" w:hAnsi="宋体" w:eastAsia="宋体" w:cs="宋体"/>
                <w:b/>
                <w:color w:val="auto"/>
                <w:kern w:val="0"/>
                <w:sz w:val="24"/>
                <w:szCs w:val="24"/>
                <w:vertAlign w:val="baseline"/>
                <w:lang w:val="en-US" w:eastAsia="zh-CN"/>
              </w:rPr>
            </w:pPr>
            <w:r>
              <w:rPr>
                <w:rFonts w:hint="eastAsia" w:ascii="宋体" w:hAnsi="宋体" w:cs="宋体"/>
                <w:b/>
                <w:color w:val="auto"/>
                <w:kern w:val="0"/>
                <w:sz w:val="24"/>
                <w:szCs w:val="24"/>
                <w:vertAlign w:val="baseline"/>
                <w:lang w:val="en-US" w:eastAsia="zh-CN"/>
              </w:rPr>
              <w:t>3</w:t>
            </w:r>
          </w:p>
        </w:tc>
        <w:tc>
          <w:tcPr>
            <w:tcW w:w="1598" w:type="dxa"/>
          </w:tcPr>
          <w:p>
            <w:pPr>
              <w:snapToGrid w:val="0"/>
              <w:spacing w:line="480" w:lineRule="exact"/>
              <w:rPr>
                <w:rFonts w:hint="eastAsia" w:ascii="宋体" w:hAnsi="宋体" w:eastAsia="宋体" w:cs="宋体"/>
                <w:b/>
                <w:color w:val="auto"/>
                <w:kern w:val="0"/>
                <w:sz w:val="24"/>
                <w:szCs w:val="24"/>
                <w:vertAlign w:val="baseline"/>
              </w:rPr>
            </w:pPr>
            <w:r>
              <w:rPr>
                <w:rFonts w:hint="eastAsia" w:ascii="宋体" w:hAnsi="宋体" w:eastAsia="宋体" w:cs="宋体"/>
                <w:b/>
                <w:color w:val="auto"/>
                <w:kern w:val="0"/>
                <w:sz w:val="24"/>
                <w:szCs w:val="24"/>
                <w:vertAlign w:val="baseline"/>
              </w:rPr>
              <w:t>技术路线、方案及方法</w:t>
            </w:r>
          </w:p>
        </w:tc>
        <w:tc>
          <w:tcPr>
            <w:tcW w:w="1598" w:type="dxa"/>
          </w:tcPr>
          <w:p>
            <w:pPr>
              <w:snapToGrid w:val="0"/>
              <w:spacing w:line="480" w:lineRule="exact"/>
              <w:rPr>
                <w:rFonts w:hint="default" w:ascii="宋体" w:hAnsi="宋体" w:eastAsia="宋体" w:cs="宋体"/>
                <w:b/>
                <w:color w:val="auto"/>
                <w:kern w:val="0"/>
                <w:sz w:val="24"/>
                <w:szCs w:val="24"/>
                <w:vertAlign w:val="baseline"/>
                <w:lang w:val="en-US" w:eastAsia="zh-CN"/>
              </w:rPr>
            </w:pPr>
            <w:r>
              <w:rPr>
                <w:rFonts w:hint="eastAsia" w:ascii="宋体" w:hAnsi="宋体" w:cs="宋体"/>
                <w:b w:val="0"/>
                <w:bCs/>
                <w:color w:val="auto"/>
                <w:kern w:val="0"/>
                <w:sz w:val="24"/>
                <w:szCs w:val="24"/>
                <w:vertAlign w:val="baseline"/>
                <w:lang w:val="en-US" w:eastAsia="zh-CN"/>
              </w:rPr>
              <w:t>15分</w:t>
            </w:r>
          </w:p>
        </w:tc>
        <w:tc>
          <w:tcPr>
            <w:tcW w:w="4848" w:type="dxa"/>
          </w:tcPr>
          <w:p>
            <w:pPr>
              <w:snapToGrid w:val="0"/>
              <w:spacing w:line="480" w:lineRule="exact"/>
              <w:rPr>
                <w:rFonts w:hint="eastAsia" w:ascii="宋体" w:hAnsi="宋体" w:eastAsia="宋体" w:cs="宋体"/>
                <w:b/>
                <w:color w:val="auto"/>
                <w:kern w:val="0"/>
                <w:sz w:val="24"/>
                <w:szCs w:val="24"/>
                <w:vertAlign w:val="baseline"/>
              </w:rPr>
            </w:pPr>
            <w:r>
              <w:rPr>
                <w:rFonts w:hint="eastAsia" w:ascii="宋体" w:hAnsi="宋体" w:eastAsia="宋体" w:cs="宋体"/>
                <w:b w:val="0"/>
                <w:bCs/>
                <w:color w:val="auto"/>
                <w:kern w:val="0"/>
                <w:sz w:val="24"/>
                <w:szCs w:val="24"/>
                <w:vertAlign w:val="baseline"/>
              </w:rPr>
              <w:t>供应商对本项目编制安全服务方案</w:t>
            </w:r>
            <w:r>
              <w:rPr>
                <w:rFonts w:hint="eastAsia" w:ascii="宋体" w:hAnsi="宋体" w:cs="宋体"/>
                <w:b w:val="0"/>
                <w:bCs/>
                <w:color w:val="auto"/>
                <w:kern w:val="0"/>
                <w:sz w:val="24"/>
                <w:szCs w:val="24"/>
                <w:vertAlign w:val="baseline"/>
                <w:lang w:eastAsia="zh-CN"/>
              </w:rPr>
              <w:t>（</w:t>
            </w:r>
            <w:r>
              <w:rPr>
                <w:rFonts w:hint="eastAsia" w:ascii="宋体" w:hAnsi="宋体" w:cs="宋体"/>
                <w:b w:val="0"/>
                <w:bCs/>
                <w:color w:val="auto"/>
                <w:kern w:val="0"/>
                <w:sz w:val="24"/>
                <w:szCs w:val="24"/>
                <w:vertAlign w:val="baseline"/>
                <w:lang w:val="en-US" w:eastAsia="zh-CN"/>
              </w:rPr>
              <w:t>方案内容包括但不限于</w:t>
            </w:r>
            <w:r>
              <w:rPr>
                <w:rFonts w:hint="eastAsia" w:ascii="宋体" w:hAnsi="宋体" w:eastAsia="宋体" w:cs="宋体"/>
                <w:b w:val="0"/>
                <w:bCs/>
                <w:color w:val="auto"/>
                <w:kern w:val="0"/>
                <w:sz w:val="24"/>
                <w:szCs w:val="24"/>
                <w:vertAlign w:val="baseline"/>
              </w:rPr>
              <w:t>方法及技术路线</w:t>
            </w:r>
            <w:r>
              <w:rPr>
                <w:rFonts w:hint="eastAsia" w:ascii="宋体" w:hAnsi="宋体" w:cs="宋体"/>
                <w:b w:val="0"/>
                <w:bCs/>
                <w:color w:val="auto"/>
                <w:kern w:val="0"/>
                <w:sz w:val="24"/>
                <w:szCs w:val="24"/>
                <w:vertAlign w:val="baseline"/>
                <w:lang w:eastAsia="zh-CN"/>
              </w:rPr>
              <w:t>），</w:t>
            </w:r>
            <w:r>
              <w:rPr>
                <w:rFonts w:hint="eastAsia" w:ascii="宋体" w:hAnsi="宋体" w:cs="宋体"/>
                <w:b w:val="0"/>
                <w:bCs/>
                <w:color w:val="auto"/>
                <w:kern w:val="0"/>
                <w:sz w:val="24"/>
                <w:szCs w:val="24"/>
                <w:vertAlign w:val="baseline"/>
                <w:lang w:val="en-US" w:eastAsia="zh-CN"/>
              </w:rPr>
              <w:t>从</w:t>
            </w:r>
            <w:r>
              <w:rPr>
                <w:rFonts w:hint="eastAsia" w:ascii="宋体" w:hAnsi="宋体" w:eastAsia="宋体" w:cs="宋体"/>
                <w:b w:val="0"/>
                <w:bCs/>
                <w:color w:val="auto"/>
                <w:kern w:val="0"/>
                <w:sz w:val="24"/>
                <w:szCs w:val="24"/>
                <w:vertAlign w:val="baseline"/>
              </w:rPr>
              <w:t>科学合理性、内容</w:t>
            </w:r>
            <w:r>
              <w:rPr>
                <w:rFonts w:hint="eastAsia" w:ascii="宋体" w:hAnsi="宋体" w:cs="宋体"/>
                <w:b w:val="0"/>
                <w:bCs/>
                <w:color w:val="auto"/>
                <w:kern w:val="0"/>
                <w:sz w:val="24"/>
                <w:szCs w:val="24"/>
                <w:vertAlign w:val="baseline"/>
                <w:lang w:val="en-US" w:eastAsia="zh-CN"/>
              </w:rPr>
              <w:t>完整性</w:t>
            </w:r>
            <w:r>
              <w:rPr>
                <w:rFonts w:hint="eastAsia" w:ascii="宋体" w:hAnsi="宋体" w:eastAsia="宋体" w:cs="宋体"/>
                <w:b w:val="0"/>
                <w:bCs/>
                <w:color w:val="auto"/>
                <w:kern w:val="0"/>
                <w:sz w:val="24"/>
                <w:szCs w:val="24"/>
                <w:vertAlign w:val="baseline"/>
              </w:rPr>
              <w:t>、贴合现场实际</w:t>
            </w:r>
            <w:r>
              <w:rPr>
                <w:rFonts w:hint="eastAsia" w:ascii="宋体" w:hAnsi="宋体" w:cs="宋体"/>
                <w:b w:val="0"/>
                <w:bCs/>
                <w:color w:val="auto"/>
                <w:kern w:val="0"/>
                <w:sz w:val="24"/>
                <w:szCs w:val="24"/>
                <w:vertAlign w:val="baseline"/>
                <w:lang w:val="en-US" w:eastAsia="zh-CN"/>
              </w:rPr>
              <w:t>等方面进行评价，</w:t>
            </w:r>
            <w:r>
              <w:rPr>
                <w:rFonts w:hint="eastAsia" w:ascii="宋体" w:hAnsi="宋体" w:eastAsia="宋体" w:cs="宋体"/>
                <w:b w:val="0"/>
                <w:bCs/>
                <w:color w:val="auto"/>
                <w:kern w:val="0"/>
                <w:sz w:val="24"/>
                <w:szCs w:val="24"/>
                <w:vertAlign w:val="baseline"/>
              </w:rPr>
              <w:t>方案</w:t>
            </w:r>
            <w:r>
              <w:rPr>
                <w:rFonts w:hint="eastAsia" w:ascii="宋体" w:hAnsi="宋体" w:cs="宋体"/>
                <w:b w:val="0"/>
                <w:bCs/>
                <w:color w:val="auto"/>
                <w:kern w:val="0"/>
                <w:sz w:val="24"/>
                <w:szCs w:val="24"/>
                <w:vertAlign w:val="baseline"/>
                <w:lang w:val="en-US" w:eastAsia="zh-CN"/>
              </w:rPr>
              <w:t>优秀得15</w:t>
            </w:r>
            <w:r>
              <w:rPr>
                <w:rFonts w:hint="eastAsia" w:ascii="宋体" w:hAnsi="宋体" w:eastAsia="宋体" w:cs="宋体"/>
                <w:b w:val="0"/>
                <w:bCs/>
                <w:color w:val="auto"/>
                <w:kern w:val="0"/>
                <w:sz w:val="24"/>
                <w:szCs w:val="24"/>
                <w:vertAlign w:val="baseline"/>
              </w:rPr>
              <w:t>分，</w:t>
            </w:r>
            <w:r>
              <w:rPr>
                <w:rFonts w:hint="eastAsia" w:ascii="宋体" w:hAnsi="宋体" w:cs="宋体"/>
                <w:b w:val="0"/>
                <w:bCs/>
                <w:color w:val="auto"/>
                <w:kern w:val="0"/>
                <w:sz w:val="24"/>
                <w:szCs w:val="24"/>
                <w:vertAlign w:val="baseline"/>
                <w:lang w:val="en-US" w:eastAsia="zh-CN"/>
              </w:rPr>
              <w:t>良好得10分，一般得5分</w:t>
            </w:r>
            <w:r>
              <w:rPr>
                <w:rFonts w:hint="eastAsia" w:ascii="宋体" w:hAnsi="宋体" w:eastAsia="宋体" w:cs="宋体"/>
                <w:b w:val="0"/>
                <w:bCs/>
                <w:color w:val="auto"/>
                <w:kern w:val="0"/>
                <w:sz w:val="24"/>
                <w:szCs w:val="24"/>
                <w:vertAlign w:val="baseline"/>
              </w:rPr>
              <w:t>，差</w:t>
            </w:r>
            <w:r>
              <w:rPr>
                <w:rFonts w:hint="eastAsia" w:ascii="宋体" w:hAnsi="宋体" w:cs="宋体"/>
                <w:b w:val="0"/>
                <w:bCs/>
                <w:color w:val="auto"/>
                <w:kern w:val="0"/>
                <w:sz w:val="24"/>
                <w:szCs w:val="24"/>
                <w:vertAlign w:val="baseline"/>
                <w:lang w:val="en-US" w:eastAsia="zh-CN"/>
              </w:rPr>
              <w:t>得1分，未提供不得分</w:t>
            </w:r>
            <w:r>
              <w:rPr>
                <w:rFonts w:hint="eastAsia" w:ascii="宋体" w:hAnsi="宋体" w:eastAsia="宋体" w:cs="宋体"/>
                <w:b w:val="0"/>
                <w:bCs/>
                <w:color w:val="auto"/>
                <w:kern w:val="0"/>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 w:type="dxa"/>
          </w:tcPr>
          <w:p>
            <w:pPr>
              <w:snapToGrid w:val="0"/>
              <w:spacing w:line="480" w:lineRule="exact"/>
              <w:rPr>
                <w:rFonts w:hint="eastAsia" w:ascii="宋体" w:hAnsi="宋体" w:eastAsia="宋体" w:cs="宋体"/>
                <w:b/>
                <w:color w:val="auto"/>
                <w:kern w:val="0"/>
                <w:sz w:val="24"/>
                <w:szCs w:val="24"/>
                <w:vertAlign w:val="baseline"/>
                <w:lang w:val="en-US" w:eastAsia="zh-CN"/>
              </w:rPr>
            </w:pPr>
            <w:r>
              <w:rPr>
                <w:rFonts w:hint="eastAsia" w:ascii="宋体" w:hAnsi="宋体" w:cs="宋体"/>
                <w:b/>
                <w:color w:val="auto"/>
                <w:kern w:val="0"/>
                <w:sz w:val="24"/>
                <w:szCs w:val="24"/>
                <w:vertAlign w:val="baseline"/>
                <w:lang w:val="en-US" w:eastAsia="zh-CN"/>
              </w:rPr>
              <w:t>4</w:t>
            </w:r>
          </w:p>
        </w:tc>
        <w:tc>
          <w:tcPr>
            <w:tcW w:w="1598" w:type="dxa"/>
          </w:tcPr>
          <w:p>
            <w:pPr>
              <w:snapToGrid w:val="0"/>
              <w:spacing w:line="480" w:lineRule="exact"/>
              <w:jc w:val="center"/>
              <w:rPr>
                <w:rFonts w:hint="eastAsia" w:ascii="宋体" w:hAnsi="宋体" w:eastAsia="宋体" w:cs="宋体"/>
                <w:b/>
                <w:color w:val="auto"/>
                <w:kern w:val="0"/>
                <w:sz w:val="24"/>
                <w:szCs w:val="24"/>
                <w:vertAlign w:val="baseline"/>
              </w:rPr>
            </w:pPr>
            <w:r>
              <w:rPr>
                <w:rFonts w:hint="eastAsia" w:ascii="宋体" w:hAnsi="宋体" w:eastAsia="宋体" w:cs="宋体"/>
                <w:b/>
                <w:color w:val="auto"/>
                <w:kern w:val="0"/>
                <w:sz w:val="24"/>
                <w:szCs w:val="24"/>
                <w:vertAlign w:val="baseline"/>
              </w:rPr>
              <w:t>质量管理措施及实施方法</w:t>
            </w:r>
          </w:p>
        </w:tc>
        <w:tc>
          <w:tcPr>
            <w:tcW w:w="1598" w:type="dxa"/>
          </w:tcPr>
          <w:p>
            <w:pPr>
              <w:snapToGrid w:val="0"/>
              <w:spacing w:line="480" w:lineRule="exact"/>
              <w:rPr>
                <w:rFonts w:hint="default" w:ascii="宋体" w:hAnsi="宋体" w:eastAsia="宋体" w:cs="宋体"/>
                <w:b/>
                <w:color w:val="auto"/>
                <w:kern w:val="0"/>
                <w:sz w:val="24"/>
                <w:szCs w:val="24"/>
                <w:vertAlign w:val="baseline"/>
                <w:lang w:val="en-US" w:eastAsia="zh-CN"/>
              </w:rPr>
            </w:pPr>
            <w:r>
              <w:rPr>
                <w:rFonts w:hint="eastAsia" w:ascii="宋体" w:hAnsi="宋体" w:cs="宋体"/>
                <w:b w:val="0"/>
                <w:bCs/>
                <w:color w:val="auto"/>
                <w:kern w:val="0"/>
                <w:sz w:val="24"/>
                <w:szCs w:val="24"/>
                <w:vertAlign w:val="baseline"/>
                <w:lang w:val="en-US" w:eastAsia="zh-CN"/>
              </w:rPr>
              <w:t>15分</w:t>
            </w:r>
          </w:p>
        </w:tc>
        <w:tc>
          <w:tcPr>
            <w:tcW w:w="4848" w:type="dxa"/>
          </w:tcPr>
          <w:p>
            <w:pPr>
              <w:snapToGrid w:val="0"/>
              <w:spacing w:line="480" w:lineRule="exact"/>
              <w:rPr>
                <w:rFonts w:hint="eastAsia" w:ascii="宋体" w:hAnsi="宋体" w:eastAsia="宋体" w:cs="宋体"/>
                <w:b/>
                <w:color w:val="auto"/>
                <w:kern w:val="0"/>
                <w:sz w:val="24"/>
                <w:szCs w:val="24"/>
                <w:vertAlign w:val="baseline"/>
              </w:rPr>
            </w:pPr>
            <w:r>
              <w:rPr>
                <w:rFonts w:hint="eastAsia" w:ascii="宋体" w:hAnsi="宋体" w:eastAsia="宋体" w:cs="宋体"/>
                <w:b w:val="0"/>
                <w:bCs/>
                <w:color w:val="auto"/>
                <w:kern w:val="0"/>
                <w:sz w:val="24"/>
                <w:szCs w:val="24"/>
                <w:vertAlign w:val="baseline"/>
              </w:rPr>
              <w:t>供应商</w:t>
            </w:r>
            <w:r>
              <w:rPr>
                <w:rFonts w:hint="eastAsia" w:ascii="宋体" w:hAnsi="宋体" w:cs="宋体"/>
                <w:b w:val="0"/>
                <w:bCs/>
                <w:color w:val="auto"/>
                <w:kern w:val="0"/>
                <w:sz w:val="24"/>
                <w:szCs w:val="24"/>
                <w:vertAlign w:val="baseline"/>
                <w:lang w:val="en-US" w:eastAsia="zh-CN"/>
              </w:rPr>
              <w:t>提供</w:t>
            </w:r>
            <w:r>
              <w:rPr>
                <w:rFonts w:hint="eastAsia" w:ascii="宋体" w:hAnsi="宋体" w:eastAsia="宋体" w:cs="宋体"/>
                <w:b w:val="0"/>
                <w:bCs/>
                <w:color w:val="auto"/>
                <w:kern w:val="0"/>
                <w:sz w:val="24"/>
                <w:szCs w:val="24"/>
                <w:vertAlign w:val="baseline"/>
              </w:rPr>
              <w:t>本项目质量管理</w:t>
            </w:r>
            <w:r>
              <w:rPr>
                <w:rFonts w:hint="eastAsia" w:ascii="宋体" w:hAnsi="宋体" w:cs="宋体"/>
                <w:b w:val="0"/>
                <w:bCs/>
                <w:color w:val="auto"/>
                <w:kern w:val="0"/>
                <w:sz w:val="24"/>
                <w:szCs w:val="24"/>
                <w:vertAlign w:val="baseline"/>
                <w:lang w:val="en-US" w:eastAsia="zh-CN"/>
              </w:rPr>
              <w:t>措施</w:t>
            </w:r>
            <w:r>
              <w:rPr>
                <w:rFonts w:hint="eastAsia" w:ascii="宋体" w:hAnsi="宋体" w:eastAsia="宋体" w:cs="宋体"/>
                <w:b w:val="0"/>
                <w:bCs/>
                <w:color w:val="auto"/>
                <w:kern w:val="0"/>
                <w:sz w:val="24"/>
                <w:szCs w:val="24"/>
                <w:vertAlign w:val="baseline"/>
              </w:rPr>
              <w:t>及实施方法，管理措施及实施方法合理内容详细、针对现场切实可行</w:t>
            </w:r>
            <w:r>
              <w:rPr>
                <w:rFonts w:hint="eastAsia" w:ascii="宋体" w:hAnsi="宋体" w:cs="宋体"/>
                <w:b w:val="0"/>
                <w:bCs/>
                <w:color w:val="auto"/>
                <w:kern w:val="0"/>
                <w:sz w:val="24"/>
                <w:szCs w:val="24"/>
                <w:vertAlign w:val="baseline"/>
                <w:lang w:eastAsia="zh-CN"/>
              </w:rPr>
              <w:t>：</w:t>
            </w:r>
            <w:r>
              <w:rPr>
                <w:rFonts w:hint="eastAsia" w:ascii="宋体" w:hAnsi="宋体" w:eastAsia="宋体" w:cs="宋体"/>
                <w:b w:val="0"/>
                <w:bCs/>
                <w:color w:val="auto"/>
                <w:kern w:val="0"/>
                <w:sz w:val="24"/>
                <w:szCs w:val="24"/>
                <w:vertAlign w:val="baseline"/>
              </w:rPr>
              <w:t>措施及方法</w:t>
            </w:r>
            <w:r>
              <w:rPr>
                <w:rFonts w:hint="eastAsia" w:ascii="宋体" w:hAnsi="宋体" w:cs="宋体"/>
                <w:b w:val="0"/>
                <w:bCs/>
                <w:color w:val="auto"/>
                <w:kern w:val="0"/>
                <w:sz w:val="24"/>
                <w:szCs w:val="24"/>
                <w:vertAlign w:val="baseline"/>
                <w:lang w:val="en-US" w:eastAsia="zh-CN"/>
              </w:rPr>
              <w:t>优秀得15</w:t>
            </w:r>
            <w:r>
              <w:rPr>
                <w:rFonts w:hint="eastAsia" w:ascii="宋体" w:hAnsi="宋体" w:eastAsia="宋体" w:cs="宋体"/>
                <w:b w:val="0"/>
                <w:bCs/>
                <w:color w:val="auto"/>
                <w:kern w:val="0"/>
                <w:sz w:val="24"/>
                <w:szCs w:val="24"/>
                <w:vertAlign w:val="baseline"/>
              </w:rPr>
              <w:t>分，</w:t>
            </w:r>
            <w:r>
              <w:rPr>
                <w:rFonts w:hint="eastAsia" w:ascii="宋体" w:hAnsi="宋体" w:cs="宋体"/>
                <w:b w:val="0"/>
                <w:bCs/>
                <w:color w:val="auto"/>
                <w:kern w:val="0"/>
                <w:sz w:val="24"/>
                <w:szCs w:val="24"/>
                <w:vertAlign w:val="baseline"/>
                <w:lang w:val="en-US" w:eastAsia="zh-CN"/>
              </w:rPr>
              <w:t>良好得10分，一般得5分</w:t>
            </w:r>
            <w:r>
              <w:rPr>
                <w:rFonts w:hint="eastAsia" w:ascii="宋体" w:hAnsi="宋体" w:eastAsia="宋体" w:cs="宋体"/>
                <w:b w:val="0"/>
                <w:bCs/>
                <w:color w:val="auto"/>
                <w:kern w:val="0"/>
                <w:sz w:val="24"/>
                <w:szCs w:val="24"/>
                <w:vertAlign w:val="baseline"/>
              </w:rPr>
              <w:t>，差</w:t>
            </w:r>
            <w:r>
              <w:rPr>
                <w:rFonts w:hint="eastAsia" w:ascii="宋体" w:hAnsi="宋体" w:cs="宋体"/>
                <w:b w:val="0"/>
                <w:bCs/>
                <w:color w:val="auto"/>
                <w:kern w:val="0"/>
                <w:sz w:val="24"/>
                <w:szCs w:val="24"/>
                <w:vertAlign w:val="baseline"/>
                <w:lang w:val="en-US" w:eastAsia="zh-CN"/>
              </w:rPr>
              <w:t>得1分，未提供不得分</w:t>
            </w:r>
            <w:r>
              <w:rPr>
                <w:rFonts w:hint="eastAsia" w:ascii="宋体" w:hAnsi="宋体" w:eastAsia="宋体" w:cs="宋体"/>
                <w:b w:val="0"/>
                <w:bCs/>
                <w:color w:val="auto"/>
                <w:kern w:val="0"/>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 w:type="dxa"/>
          </w:tcPr>
          <w:p>
            <w:pPr>
              <w:snapToGrid w:val="0"/>
              <w:spacing w:line="480" w:lineRule="exact"/>
              <w:rPr>
                <w:rFonts w:hint="eastAsia" w:ascii="宋体" w:hAnsi="宋体" w:eastAsia="宋体" w:cs="宋体"/>
                <w:b/>
                <w:color w:val="auto"/>
                <w:kern w:val="0"/>
                <w:sz w:val="24"/>
                <w:szCs w:val="24"/>
                <w:vertAlign w:val="baseline"/>
                <w:lang w:val="en-US" w:eastAsia="zh-CN"/>
              </w:rPr>
            </w:pPr>
            <w:r>
              <w:rPr>
                <w:rFonts w:hint="eastAsia" w:ascii="宋体" w:hAnsi="宋体" w:cs="宋体"/>
                <w:b/>
                <w:color w:val="auto"/>
                <w:kern w:val="0"/>
                <w:sz w:val="24"/>
                <w:szCs w:val="24"/>
                <w:vertAlign w:val="baseline"/>
                <w:lang w:val="en-US" w:eastAsia="zh-CN"/>
              </w:rPr>
              <w:t>5</w:t>
            </w:r>
          </w:p>
        </w:tc>
        <w:tc>
          <w:tcPr>
            <w:tcW w:w="1598" w:type="dxa"/>
          </w:tcPr>
          <w:p>
            <w:pPr>
              <w:snapToGrid w:val="0"/>
              <w:spacing w:line="480" w:lineRule="exact"/>
              <w:rPr>
                <w:rFonts w:hint="eastAsia" w:ascii="宋体" w:hAnsi="宋体" w:eastAsia="宋体" w:cs="宋体"/>
                <w:b/>
                <w:color w:val="auto"/>
                <w:kern w:val="0"/>
                <w:sz w:val="24"/>
                <w:szCs w:val="24"/>
                <w:vertAlign w:val="baseline"/>
                <w:lang w:eastAsia="zh-CN"/>
              </w:rPr>
            </w:pPr>
            <w:r>
              <w:rPr>
                <w:rFonts w:hint="eastAsia" w:ascii="宋体" w:hAnsi="宋体" w:cs="宋体"/>
                <w:b/>
                <w:color w:val="auto"/>
                <w:kern w:val="0"/>
                <w:sz w:val="24"/>
                <w:szCs w:val="24"/>
                <w:vertAlign w:val="baseline"/>
                <w:lang w:val="en-US" w:eastAsia="zh-CN"/>
              </w:rPr>
              <w:t>企业实力</w:t>
            </w:r>
          </w:p>
        </w:tc>
        <w:tc>
          <w:tcPr>
            <w:tcW w:w="1598" w:type="dxa"/>
          </w:tcPr>
          <w:p>
            <w:pPr>
              <w:snapToGrid w:val="0"/>
              <w:spacing w:line="480" w:lineRule="exact"/>
              <w:rPr>
                <w:rFonts w:hint="default" w:ascii="宋体" w:hAnsi="宋体" w:eastAsia="宋体" w:cs="宋体"/>
                <w:b/>
                <w:color w:val="auto"/>
                <w:kern w:val="0"/>
                <w:sz w:val="24"/>
                <w:szCs w:val="24"/>
                <w:vertAlign w:val="baseline"/>
                <w:lang w:val="en-US" w:eastAsia="zh-CN"/>
              </w:rPr>
            </w:pPr>
            <w:r>
              <w:rPr>
                <w:rFonts w:hint="eastAsia" w:ascii="宋体" w:hAnsi="宋体" w:cs="宋体"/>
                <w:b w:val="0"/>
                <w:bCs/>
                <w:color w:val="auto"/>
                <w:kern w:val="0"/>
                <w:sz w:val="24"/>
                <w:szCs w:val="24"/>
                <w:vertAlign w:val="baseline"/>
                <w:lang w:val="en-US" w:eastAsia="zh-CN"/>
              </w:rPr>
              <w:t>10分</w:t>
            </w:r>
          </w:p>
        </w:tc>
        <w:tc>
          <w:tcPr>
            <w:tcW w:w="4848" w:type="dxa"/>
          </w:tcPr>
          <w:p>
            <w:pPr>
              <w:snapToGrid w:val="0"/>
              <w:spacing w:line="480" w:lineRule="exact"/>
              <w:rPr>
                <w:rFonts w:hint="default" w:ascii="宋体" w:hAnsi="宋体" w:eastAsia="宋体" w:cs="宋体"/>
                <w:b/>
                <w:color w:val="auto"/>
                <w:kern w:val="0"/>
                <w:sz w:val="24"/>
                <w:szCs w:val="24"/>
                <w:vertAlign w:val="baseline"/>
                <w:lang w:val="en-US" w:eastAsia="zh-CN"/>
              </w:rPr>
            </w:pPr>
            <w:r>
              <w:rPr>
                <w:rFonts w:hint="eastAsia" w:ascii="宋体" w:hAnsi="宋体" w:cs="宋体"/>
                <w:b w:val="0"/>
                <w:bCs/>
                <w:color w:val="auto"/>
                <w:kern w:val="0"/>
                <w:sz w:val="24"/>
                <w:szCs w:val="24"/>
                <w:vertAlign w:val="baseline"/>
                <w:lang w:val="en-US" w:eastAsia="zh-CN"/>
              </w:rPr>
              <w:t>供应商</w:t>
            </w:r>
            <w:r>
              <w:rPr>
                <w:rFonts w:hint="eastAsia" w:ascii="宋体" w:hAnsi="宋体" w:eastAsia="宋体" w:cs="宋体"/>
                <w:b w:val="0"/>
                <w:bCs/>
                <w:color w:val="auto"/>
                <w:kern w:val="0"/>
                <w:sz w:val="24"/>
                <w:szCs w:val="24"/>
                <w:vertAlign w:val="baseline"/>
              </w:rPr>
              <w:t>提供</w:t>
            </w:r>
            <w:r>
              <w:rPr>
                <w:rFonts w:hint="eastAsia" w:ascii="宋体" w:hAnsi="宋体" w:cs="宋体"/>
                <w:b w:val="0"/>
                <w:bCs/>
                <w:color w:val="auto"/>
                <w:kern w:val="0"/>
                <w:sz w:val="24"/>
                <w:szCs w:val="24"/>
                <w:vertAlign w:val="baseline"/>
                <w:lang w:val="en-US" w:eastAsia="zh-CN"/>
              </w:rPr>
              <w:t>能证明企业</w:t>
            </w:r>
            <w:r>
              <w:rPr>
                <w:rFonts w:hint="eastAsia" w:ascii="宋体" w:hAnsi="宋体" w:eastAsia="宋体" w:cs="宋体"/>
                <w:b w:val="0"/>
                <w:bCs/>
                <w:color w:val="auto"/>
                <w:kern w:val="0"/>
                <w:sz w:val="24"/>
                <w:szCs w:val="24"/>
                <w:vertAlign w:val="baseline"/>
              </w:rPr>
              <w:t>综合实力的</w:t>
            </w:r>
            <w:r>
              <w:rPr>
                <w:rFonts w:hint="eastAsia" w:ascii="宋体" w:hAnsi="宋体" w:cs="宋体"/>
                <w:b w:val="0"/>
                <w:bCs/>
                <w:color w:val="auto"/>
                <w:kern w:val="0"/>
                <w:sz w:val="24"/>
                <w:szCs w:val="24"/>
                <w:vertAlign w:val="baseline"/>
                <w:lang w:val="en-US" w:eastAsia="zh-CN"/>
              </w:rPr>
              <w:t>材料，如企业证书、荣誉等，得10分，不提供不得分。</w:t>
            </w:r>
          </w:p>
        </w:tc>
      </w:tr>
    </w:tbl>
    <w:p>
      <w:pPr>
        <w:snapToGrid w:val="0"/>
        <w:spacing w:line="480" w:lineRule="exact"/>
        <w:ind w:firstLine="570"/>
        <w:rPr>
          <w:rFonts w:hint="eastAsia" w:ascii="宋体" w:hAnsi="宋体" w:eastAsia="宋体" w:cs="宋体"/>
          <w:b/>
          <w:color w:val="auto"/>
          <w:kern w:val="0"/>
          <w:sz w:val="24"/>
          <w:szCs w:val="24"/>
          <w:u w:val="double" w:color="FF0000"/>
        </w:rPr>
      </w:pPr>
      <w:r>
        <w:rPr>
          <w:rFonts w:hint="eastAsia" w:ascii="宋体" w:hAnsi="宋体" w:eastAsia="宋体" w:cs="宋体"/>
          <w:b/>
          <w:color w:val="auto"/>
          <w:kern w:val="0"/>
          <w:sz w:val="24"/>
          <w:szCs w:val="24"/>
          <w:u w:val="double" w:color="FF0000"/>
        </w:rPr>
        <w:t>注：供应商的商务技术部分得分不得低于项目</w:t>
      </w:r>
      <w:r>
        <w:rPr>
          <w:rFonts w:hint="eastAsia" w:ascii="宋体" w:hAnsi="宋体" w:cs="宋体"/>
          <w:b/>
          <w:color w:val="auto"/>
          <w:kern w:val="0"/>
          <w:sz w:val="24"/>
          <w:szCs w:val="24"/>
          <w:u w:val="double" w:color="FF0000"/>
          <w:lang w:val="en-US" w:eastAsia="zh-CN"/>
        </w:rPr>
        <w:t>商务</w:t>
      </w:r>
      <w:r>
        <w:rPr>
          <w:rFonts w:hint="eastAsia" w:ascii="宋体" w:hAnsi="宋体" w:eastAsia="宋体" w:cs="宋体"/>
          <w:b/>
          <w:color w:val="auto"/>
          <w:kern w:val="0"/>
          <w:sz w:val="24"/>
          <w:szCs w:val="24"/>
          <w:u w:val="double" w:color="FF0000"/>
        </w:rPr>
        <w:t>技术标</w:t>
      </w:r>
      <w:r>
        <w:rPr>
          <w:rFonts w:hint="eastAsia" w:ascii="宋体" w:hAnsi="宋体" w:cs="宋体"/>
          <w:b/>
          <w:color w:val="auto"/>
          <w:kern w:val="0"/>
          <w:sz w:val="24"/>
          <w:szCs w:val="24"/>
          <w:u w:val="double" w:color="FF0000"/>
          <w:lang w:val="en-US" w:eastAsia="zh-CN"/>
        </w:rPr>
        <w:t>总分</w:t>
      </w:r>
      <w:r>
        <w:rPr>
          <w:rFonts w:hint="eastAsia" w:ascii="宋体" w:hAnsi="宋体" w:eastAsia="宋体" w:cs="宋体"/>
          <w:b/>
          <w:color w:val="auto"/>
          <w:kern w:val="0"/>
          <w:sz w:val="24"/>
          <w:szCs w:val="24"/>
          <w:u w:val="double" w:color="FF0000"/>
        </w:rPr>
        <w:t>的50%，否则视为未实质性响应，按无效</w:t>
      </w:r>
      <w:r>
        <w:rPr>
          <w:rFonts w:hint="eastAsia" w:ascii="宋体" w:hAnsi="宋体" w:cs="宋体"/>
          <w:b/>
          <w:color w:val="auto"/>
          <w:kern w:val="0"/>
          <w:sz w:val="24"/>
          <w:szCs w:val="24"/>
          <w:u w:val="double" w:color="FF0000"/>
          <w:lang w:val="en-US" w:eastAsia="zh-CN"/>
        </w:rPr>
        <w:t>响应</w:t>
      </w:r>
      <w:r>
        <w:rPr>
          <w:rFonts w:hint="eastAsia" w:ascii="宋体" w:hAnsi="宋体" w:eastAsia="宋体" w:cs="宋体"/>
          <w:b/>
          <w:color w:val="auto"/>
          <w:kern w:val="0"/>
          <w:sz w:val="24"/>
          <w:szCs w:val="24"/>
          <w:u w:val="double" w:color="FF0000"/>
        </w:rPr>
        <w:t>处理。</w:t>
      </w:r>
    </w:p>
    <w:p>
      <w:pPr>
        <w:snapToGrid w:val="0"/>
        <w:spacing w:line="480" w:lineRule="exact"/>
        <w:ind w:firstLine="57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r>
        <w:rPr>
          <w:rFonts w:hint="eastAsia" w:ascii="宋体" w:hAnsi="宋体" w:eastAsia="宋体" w:cs="宋体"/>
          <w:b/>
          <w:color w:val="auto"/>
          <w:kern w:val="0"/>
          <w:sz w:val="24"/>
          <w:szCs w:val="24"/>
          <w:lang w:val="zh-CN"/>
        </w:rPr>
        <w:t>四</w:t>
      </w:r>
      <w:r>
        <w:rPr>
          <w:rFonts w:hint="eastAsia" w:ascii="宋体" w:hAnsi="宋体" w:eastAsia="宋体" w:cs="宋体"/>
          <w:b/>
          <w:color w:val="auto"/>
          <w:kern w:val="0"/>
          <w:sz w:val="24"/>
          <w:szCs w:val="24"/>
        </w:rPr>
        <w:t>）价格分</w:t>
      </w:r>
      <w:r>
        <w:rPr>
          <w:rFonts w:hint="eastAsia" w:ascii="宋体" w:hAnsi="宋体" w:cs="宋体"/>
          <w:b/>
          <w:color w:val="auto"/>
          <w:kern w:val="0"/>
          <w:sz w:val="24"/>
          <w:szCs w:val="24"/>
          <w:lang w:val="en-US" w:eastAsia="zh-CN"/>
        </w:rPr>
        <w:t>2</w:t>
      </w:r>
      <w:r>
        <w:rPr>
          <w:rFonts w:hint="eastAsia" w:ascii="宋体" w:hAnsi="宋体" w:eastAsia="宋体" w:cs="宋体"/>
          <w:b/>
          <w:color w:val="auto"/>
          <w:kern w:val="0"/>
          <w:sz w:val="24"/>
          <w:szCs w:val="24"/>
        </w:rPr>
        <w:t>0</w:t>
      </w:r>
      <w:r>
        <w:rPr>
          <w:rFonts w:hint="eastAsia" w:ascii="宋体" w:hAnsi="宋体" w:eastAsia="宋体" w:cs="宋体"/>
          <w:b/>
          <w:color w:val="auto"/>
          <w:kern w:val="0"/>
          <w:sz w:val="24"/>
          <w:szCs w:val="24"/>
          <w:lang w:val="zh-CN"/>
        </w:rPr>
        <w:t>分</w:t>
      </w:r>
    </w:p>
    <w:p>
      <w:pPr>
        <w:autoSpaceDE w:val="0"/>
        <w:autoSpaceDN w:val="0"/>
        <w:adjustRightInd w:val="0"/>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综合评分法中的价格分统一采用低价优先法计算，即满足磋商文件要求且最后报价最低的供应商的价格为磋商基准价，其价格分为满分。其他供应商的价格分统一按照下列公式计算：</w:t>
      </w:r>
    </w:p>
    <w:p>
      <w:pPr>
        <w:autoSpaceDE w:val="0"/>
        <w:autoSpaceDN w:val="0"/>
        <w:adjustRightInd w:val="0"/>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磋商报价得分=（磋商基准价/最后磋商报价）×价格权值×100</w:t>
      </w:r>
    </w:p>
    <w:p>
      <w:pPr>
        <w:autoSpaceDE w:val="0"/>
        <w:autoSpaceDN w:val="0"/>
        <w:adjustRightInd w:val="0"/>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项目评审过程中，不得去掉最后报价中的最高报价和最低报价。</w:t>
      </w:r>
    </w:p>
    <w:p>
      <w:pPr>
        <w:snapToGrid w:val="0"/>
        <w:spacing w:line="480" w:lineRule="exact"/>
        <w:ind w:firstLine="57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（五）成交供应商的确定</w:t>
      </w:r>
    </w:p>
    <w:p>
      <w:pPr>
        <w:snapToGrid w:val="0"/>
        <w:spacing w:line="480" w:lineRule="exact"/>
        <w:ind w:firstLine="570"/>
        <w:rPr>
          <w:rFonts w:hint="eastAsia" w:ascii="宋体" w:hAnsi="宋体" w:eastAsia="宋体" w:cs="宋体"/>
          <w:bCs/>
          <w:color w:val="auto"/>
          <w:sz w:val="24"/>
          <w:szCs w:val="24"/>
        </w:rPr>
      </w:pPr>
      <w:r>
        <w:rPr>
          <w:rFonts w:hint="eastAsia" w:ascii="宋体" w:hAnsi="宋体" w:eastAsia="宋体" w:cs="宋体"/>
          <w:bCs/>
          <w:color w:val="auto"/>
          <w:sz w:val="24"/>
          <w:szCs w:val="24"/>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pPr>
        <w:snapToGrid w:val="0"/>
        <w:spacing w:line="480" w:lineRule="exact"/>
        <w:ind w:firstLine="570"/>
        <w:rPr>
          <w:rFonts w:hint="eastAsia" w:ascii="宋体" w:hAnsi="宋体" w:eastAsia="宋体" w:cs="宋体"/>
          <w:bCs/>
          <w:color w:val="auto"/>
          <w:sz w:val="24"/>
          <w:szCs w:val="24"/>
        </w:rPr>
      </w:pPr>
      <w:r>
        <w:rPr>
          <w:rFonts w:hint="eastAsia" w:ascii="宋体" w:hAnsi="宋体" w:eastAsia="宋体" w:cs="宋体"/>
          <w:bCs/>
          <w:color w:val="auto"/>
          <w:sz w:val="24"/>
          <w:szCs w:val="24"/>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超半数以上评委认定，有权取消供应商成交候选人资格。</w:t>
      </w:r>
    </w:p>
    <w:p>
      <w:pPr>
        <w:adjustRightInd w:val="0"/>
        <w:snapToGrid w:val="0"/>
        <w:spacing w:line="480" w:lineRule="exact"/>
        <w:ind w:firstLine="570"/>
        <w:rPr>
          <w:rFonts w:hint="eastAsia" w:ascii="宋体" w:hAnsi="宋体" w:eastAsia="宋体" w:cs="宋体"/>
          <w:bCs/>
          <w:color w:val="auto"/>
          <w:sz w:val="24"/>
          <w:szCs w:val="24"/>
        </w:rPr>
      </w:pPr>
      <w:r>
        <w:rPr>
          <w:rFonts w:hint="eastAsia" w:ascii="宋体" w:hAnsi="宋体" w:eastAsia="宋体" w:cs="宋体"/>
          <w:bCs/>
          <w:color w:val="auto"/>
          <w:sz w:val="24"/>
          <w:szCs w:val="24"/>
        </w:rPr>
        <w:t>磋商小组汇总各评委评分后，按照得分从高到低的顺序推荐三名成交候选人，并编写评审报告。</w:t>
      </w:r>
    </w:p>
    <w:p>
      <w:pPr>
        <w:adjustRightInd w:val="0"/>
        <w:snapToGrid w:val="0"/>
        <w:spacing w:line="480" w:lineRule="exact"/>
        <w:ind w:firstLine="570"/>
        <w:rPr>
          <w:rFonts w:hint="eastAsia" w:ascii="宋体" w:hAnsi="宋体" w:eastAsia="宋体" w:cs="宋体"/>
          <w:bCs/>
          <w:color w:val="auto"/>
          <w:sz w:val="24"/>
          <w:szCs w:val="24"/>
        </w:rPr>
      </w:pPr>
      <w:r>
        <w:rPr>
          <w:rFonts w:hint="eastAsia" w:ascii="宋体" w:hAnsi="宋体" w:eastAsia="宋体" w:cs="宋体"/>
          <w:b/>
          <w:color w:val="auto"/>
          <w:sz w:val="24"/>
          <w:szCs w:val="24"/>
        </w:rPr>
        <w:t>采购人委托磋商小组</w:t>
      </w:r>
      <w:r>
        <w:rPr>
          <w:rFonts w:hint="eastAsia" w:ascii="宋体" w:hAnsi="宋体" w:eastAsia="宋体" w:cs="宋体"/>
          <w:bCs/>
          <w:color w:val="auto"/>
          <w:sz w:val="24"/>
          <w:szCs w:val="24"/>
        </w:rPr>
        <w:t>直接确定排名第一的成交候选人为成交供应商。成交候选人并列的，由采购人委托磋商小组按照现场抽签方式确定成交人。当排名第一的成交候选人放弃成交、因不可抗力不能履行合同、不按照磋商文件要求提交履约保证金，或者被查实存在影响成交结果的违法行为等情形，不符合成交条件的，采购人可以按照评标委员会提出的成交候选人名单排序依次确定其他成交候选人为成交人，也可以重新组织采购。</w:t>
      </w:r>
    </w:p>
    <w:p>
      <w:pPr>
        <w:snapToGrid w:val="0"/>
        <w:spacing w:line="480" w:lineRule="exact"/>
        <w:ind w:firstLine="57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（六）采购代理机构宣布评审结果。</w:t>
      </w:r>
    </w:p>
    <w:p>
      <w:pPr>
        <w:snapToGrid w:val="0"/>
        <w:spacing w:line="480" w:lineRule="exact"/>
        <w:ind w:firstLine="57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（七）成交通知</w:t>
      </w:r>
    </w:p>
    <w:p>
      <w:pPr>
        <w:snapToGrid w:val="0"/>
        <w:spacing w:line="480" w:lineRule="exact"/>
        <w:ind w:firstLine="570"/>
        <w:rPr>
          <w:rFonts w:hint="eastAsia" w:ascii="宋体" w:hAnsi="宋体" w:eastAsia="宋体" w:cs="宋体"/>
          <w:b/>
          <w:color w:val="auto"/>
          <w:kern w:val="0"/>
          <w:sz w:val="24"/>
          <w:szCs w:val="24"/>
        </w:rPr>
      </w:pPr>
      <w:r>
        <w:rPr>
          <w:rFonts w:hint="eastAsia" w:ascii="宋体" w:hAnsi="宋体" w:eastAsia="宋体" w:cs="宋体"/>
          <w:bCs/>
          <w:color w:val="auto"/>
          <w:sz w:val="24"/>
          <w:szCs w:val="24"/>
        </w:rPr>
        <w:t>成交结果在</w:t>
      </w:r>
      <w:r>
        <w:rPr>
          <w:rFonts w:hint="eastAsia" w:ascii="宋体" w:hAnsi="宋体" w:cs="宋体"/>
          <w:bCs/>
          <w:color w:val="auto"/>
          <w:sz w:val="24"/>
          <w:szCs w:val="24"/>
          <w:lang w:eastAsia="zh-CN"/>
        </w:rPr>
        <w:t>启东市人民政府网</w:t>
      </w:r>
      <w:r>
        <w:rPr>
          <w:rFonts w:hint="eastAsia" w:ascii="宋体" w:hAnsi="宋体" w:eastAsia="宋体" w:cs="宋体"/>
          <w:bCs/>
          <w:color w:val="auto"/>
          <w:sz w:val="24"/>
          <w:szCs w:val="24"/>
        </w:rPr>
        <w:t>公示1个工作日。《成交通知书》一经发出，采购单位改变成交结果，或者供应商放弃成交的，各自承担相应的法律责任。《成交通知书》是采购合同的组成部分。</w:t>
      </w:r>
    </w:p>
    <w:p>
      <w:pPr>
        <w:snapToGrid w:val="0"/>
        <w:spacing w:line="480" w:lineRule="exact"/>
        <w:ind w:firstLine="57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七、其他注意事项</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1、在磋商响应、评审时间，供应商不得向磋商小组询问情况，不得进行旨在影响评审结果的活动。</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2、磋商小组不得向供应商解释落标原因。</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3、在磋商响应、评审过程中，如果供应商联合故意抬高报价或出现其他不正当行为，采购人有权中止磋商或评审。</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4、凡在磋商响应、评审过程中，已提示是否异议的事项，供应商当时没有提出异议的，事后不得针对上述事项提出质疑。</w:t>
      </w:r>
    </w:p>
    <w:p>
      <w:pPr>
        <w:spacing w:line="480" w:lineRule="exact"/>
        <w:ind w:firstLine="384" w:firstLineChars="200"/>
        <w:jc w:val="center"/>
        <w:textAlignment w:val="baseline"/>
        <w:outlineLvl w:val="0"/>
        <w:rPr>
          <w:rFonts w:hint="eastAsia" w:ascii="宋体" w:hAnsi="宋体" w:eastAsia="宋体" w:cs="宋体"/>
          <w:b/>
          <w:bCs/>
          <w:color w:val="auto"/>
          <w:w w:val="80"/>
          <w:kern w:val="44"/>
          <w:sz w:val="24"/>
          <w:szCs w:val="24"/>
        </w:rPr>
      </w:pPr>
      <w:r>
        <w:rPr>
          <w:rFonts w:hint="eastAsia" w:ascii="宋体" w:hAnsi="宋体" w:eastAsia="宋体" w:cs="宋体"/>
          <w:b/>
          <w:bCs/>
          <w:color w:val="auto"/>
          <w:w w:val="80"/>
          <w:kern w:val="44"/>
          <w:sz w:val="24"/>
          <w:szCs w:val="24"/>
        </w:rPr>
        <w:br w:type="page"/>
      </w:r>
      <w:r>
        <w:rPr>
          <w:rFonts w:hint="eastAsia" w:ascii="宋体" w:hAnsi="宋体" w:eastAsia="宋体" w:cs="宋体"/>
          <w:b/>
          <w:bCs/>
          <w:color w:val="auto"/>
          <w:w w:val="80"/>
          <w:kern w:val="44"/>
          <w:sz w:val="36"/>
          <w:szCs w:val="36"/>
        </w:rPr>
        <w:t>第五章合同授予</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成交供应商在《成交通知书》发出后30日内必须按照磋商文件确定的事项签订采购合同。所签合同不得对磋商文件作实质性修改。采购单位不得向成交供应商提出不合理的要求作为签订合同的条件，不得与成交供应商私下订立背离磋商文件实质性内容的协议。</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采购单位按合同约定积极配合成交人履约，成交人履约到位后，请以书面形式向采购单位提出验收申请，采购单位接到申请后原则上在5个工作日内及时组织相关专业技术人员，必要时邀请质检等部门共同参与验收，并出具验收报告，验收合格的原则上5个工作日内支付相应款项。</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五、不响应付款方式的，视同响应文件无效，按无效响应文件处理。</w:t>
      </w:r>
    </w:p>
    <w:p>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六、</w:t>
      </w:r>
      <w:r>
        <w:rPr>
          <w:rFonts w:hint="eastAsia" w:ascii="宋体" w:hAnsi="宋体" w:eastAsia="宋体" w:cs="宋体"/>
          <w:color w:val="auto"/>
          <w:sz w:val="24"/>
          <w:szCs w:val="24"/>
        </w:rPr>
        <w:t>服务的追加、减少和添购</w:t>
      </w:r>
      <w:r>
        <w:rPr>
          <w:rFonts w:hint="eastAsia" w:ascii="宋体" w:hAnsi="宋体" w:cs="宋体"/>
          <w:color w:val="auto"/>
          <w:sz w:val="24"/>
          <w:szCs w:val="24"/>
          <w:lang w:eastAsia="zh-CN"/>
        </w:rPr>
        <w:t>：</w:t>
      </w:r>
    </w:p>
    <w:p>
      <w:pPr>
        <w:spacing w:line="48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.1合同履行中，采购人需追加与合同标的相同的服务的，在不改变合同其他条款的前提下，可以与成交供应商协商签订补充合同，但所有补充合同的采购金额不超过原合同金额10%。</w:t>
      </w:r>
    </w:p>
    <w:p>
      <w:pPr>
        <w:spacing w:line="48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.2采购结束后，采购人若由于各种客观原因，必须对采购项目所牵涉的服务进行适当的减少时，在双方协商一致的前提下，可以按照采购时的价格水平做相应的调减，并据此签订补充合同。</w:t>
      </w:r>
    </w:p>
    <w:p>
      <w:pPr>
        <w:spacing w:line="48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七</w:t>
      </w:r>
      <w:r>
        <w:rPr>
          <w:rFonts w:hint="eastAsia" w:ascii="宋体" w:hAnsi="宋体" w:eastAsia="宋体" w:cs="宋体"/>
          <w:color w:val="auto"/>
          <w:sz w:val="24"/>
          <w:szCs w:val="24"/>
          <w:lang w:val="en-US" w:eastAsia="zh-CN"/>
        </w:rPr>
        <w:t>、合同主要条款</w:t>
      </w:r>
    </w:p>
    <w:p>
      <w:pPr>
        <w:pStyle w:val="52"/>
        <w:spacing w:line="480" w:lineRule="exact"/>
        <w:rPr>
          <w:rFonts w:hint="eastAsia" w:ascii="宋体" w:hAnsi="宋体" w:eastAsia="宋体" w:cs="宋体"/>
          <w:color w:val="auto"/>
          <w:sz w:val="24"/>
          <w:szCs w:val="24"/>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合同协议书</w:t>
      </w:r>
    </w:p>
    <w:p>
      <w:pPr>
        <w:keepNext w:val="0"/>
        <w:keepLines w:val="0"/>
        <w:pageBreakBefore w:val="0"/>
        <w:kinsoku/>
        <w:wordWrap/>
        <w:overflowPunct/>
        <w:topLinePunct w:val="0"/>
        <w:autoSpaceDE/>
        <w:autoSpaceDN/>
        <w:bidi w:val="0"/>
        <w:adjustRightInd/>
        <w:spacing w:after="0" w:line="480" w:lineRule="exac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委托方（甲方）：</w:t>
      </w:r>
      <w:r>
        <w:rPr>
          <w:rFonts w:hint="eastAsia" w:ascii="宋体" w:hAnsi="宋体" w:eastAsia="宋体" w:cs="宋体"/>
          <w:color w:val="auto"/>
          <w:sz w:val="24"/>
          <w:szCs w:val="24"/>
          <w:highlight w:val="none"/>
          <w:u w:val="single"/>
          <w:lang w:eastAsia="zh-CN"/>
        </w:rPr>
        <w:t>启东市汇龙镇人民政府</w:t>
      </w:r>
    </w:p>
    <w:p>
      <w:pPr>
        <w:keepNext w:val="0"/>
        <w:keepLines w:val="0"/>
        <w:pageBreakBefore w:val="0"/>
        <w:kinsoku/>
        <w:wordWrap/>
        <w:overflowPunct/>
        <w:topLinePunct w:val="0"/>
        <w:autoSpaceDE/>
        <w:autoSpaceDN/>
        <w:bidi w:val="0"/>
        <w:adjustRightInd/>
        <w:spacing w:after="0" w:line="480" w:lineRule="exact"/>
        <w:textAlignment w:val="auto"/>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受托人（乙方）：</w:t>
      </w:r>
      <w:r>
        <w:rPr>
          <w:rFonts w:hint="eastAsia" w:ascii="宋体" w:hAnsi="宋体" w:cs="宋体"/>
          <w:color w:val="auto"/>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民典法</w:t>
      </w:r>
      <w:r>
        <w:rPr>
          <w:rFonts w:hint="eastAsia" w:ascii="宋体" w:hAnsi="宋体" w:eastAsia="宋体" w:cs="宋体"/>
          <w:color w:val="auto"/>
          <w:sz w:val="24"/>
          <w:szCs w:val="24"/>
          <w:highlight w:val="none"/>
        </w:rPr>
        <w:t>》、《中华人民共和国安全生产法》等有关法律规定，为进一步落实各生产经营</w:t>
      </w:r>
      <w:r>
        <w:rPr>
          <w:rFonts w:hint="eastAsia" w:ascii="宋体" w:hAnsi="宋体" w:cs="宋体"/>
          <w:color w:val="auto"/>
          <w:sz w:val="24"/>
          <w:szCs w:val="24"/>
          <w:highlight w:val="none"/>
          <w:lang w:val="en-US" w:eastAsia="zh-CN"/>
        </w:rPr>
        <w:t>单位</w:t>
      </w:r>
      <w:r>
        <w:rPr>
          <w:rFonts w:hint="eastAsia" w:ascii="宋体" w:hAnsi="宋体" w:eastAsia="宋体" w:cs="宋体"/>
          <w:color w:val="auto"/>
          <w:sz w:val="24"/>
          <w:szCs w:val="24"/>
          <w:highlight w:val="none"/>
        </w:rPr>
        <w:t>、建设工程各方安全生产主体责任，发挥专家对安全生产支撑作用，遵循平等、自愿、公平和诚实信用的原则，双方就2025年启东市汇龙镇安全生产技术服务项目及有关事项协商一致，共同达成如下协议：</w:t>
      </w:r>
    </w:p>
    <w:p>
      <w:pPr>
        <w:keepNext w:val="0"/>
        <w:keepLines w:val="0"/>
        <w:pageBreakBefore w:val="0"/>
        <w:numPr>
          <w:ilvl w:val="0"/>
          <w:numId w:val="0"/>
        </w:numPr>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 xml:space="preserve">第一条 </w:t>
      </w:r>
      <w:r>
        <w:rPr>
          <w:rFonts w:hint="eastAsia" w:ascii="宋体" w:hAnsi="宋体" w:eastAsia="宋体" w:cs="宋体"/>
          <w:b/>
          <w:color w:val="auto"/>
          <w:sz w:val="24"/>
          <w:szCs w:val="24"/>
          <w:highlight w:val="none"/>
        </w:rPr>
        <w:t>甲方委托乙方进行技术服务的内容如下</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zh-CN" w:eastAsia="zh-CN"/>
        </w:rPr>
        <w:t>1、</w:t>
      </w:r>
      <w:r>
        <w:rPr>
          <w:rFonts w:hint="eastAsia" w:ascii="宋体" w:hAnsi="宋体" w:eastAsia="宋体" w:cs="宋体"/>
          <w:b/>
          <w:bCs/>
          <w:color w:val="auto"/>
          <w:kern w:val="0"/>
          <w:sz w:val="24"/>
          <w:szCs w:val="24"/>
          <w:highlight w:val="none"/>
          <w:lang w:val="zh-CN"/>
        </w:rPr>
        <w:t>技术服务的</w:t>
      </w:r>
      <w:r>
        <w:rPr>
          <w:rFonts w:hint="eastAsia" w:ascii="宋体" w:hAnsi="宋体" w:eastAsia="宋体" w:cs="宋体"/>
          <w:b/>
          <w:bCs/>
          <w:color w:val="auto"/>
          <w:kern w:val="0"/>
          <w:sz w:val="24"/>
          <w:szCs w:val="24"/>
          <w:highlight w:val="none"/>
          <w:lang w:val="zh-CN" w:eastAsia="zh-CN"/>
        </w:rPr>
        <w:t>内容</w:t>
      </w:r>
      <w:r>
        <w:rPr>
          <w:rFonts w:hint="eastAsia" w:ascii="宋体" w:hAnsi="宋体" w:eastAsia="宋体" w:cs="宋体"/>
          <w:b/>
          <w:bCs/>
          <w:color w:val="auto"/>
          <w:kern w:val="0"/>
          <w:sz w:val="24"/>
          <w:szCs w:val="24"/>
          <w:highlight w:val="none"/>
          <w:lang w:val="zh-CN"/>
        </w:rPr>
        <w:t>：</w:t>
      </w:r>
      <w:r>
        <w:rPr>
          <w:rFonts w:hint="eastAsia" w:ascii="宋体" w:hAnsi="宋体" w:eastAsia="宋体" w:cs="宋体"/>
          <w:color w:val="auto"/>
          <w:kern w:val="0"/>
          <w:sz w:val="24"/>
          <w:szCs w:val="24"/>
          <w:highlight w:val="none"/>
          <w:lang w:val="zh-CN" w:eastAsia="zh-CN"/>
        </w:rPr>
        <w:t>对汇龙镇属地</w:t>
      </w:r>
      <w:r>
        <w:rPr>
          <w:rFonts w:hint="eastAsia" w:ascii="宋体" w:hAnsi="宋体" w:cs="宋体"/>
          <w:color w:val="auto"/>
          <w:kern w:val="0"/>
          <w:sz w:val="24"/>
          <w:szCs w:val="24"/>
          <w:highlight w:val="none"/>
          <w:lang w:val="en-US" w:eastAsia="zh-CN"/>
        </w:rPr>
        <w:t>生产经营单位</w:t>
      </w:r>
      <w:r>
        <w:rPr>
          <w:rFonts w:hint="eastAsia" w:ascii="宋体" w:hAnsi="宋体" w:eastAsia="宋体" w:cs="宋体"/>
          <w:color w:val="auto"/>
          <w:kern w:val="0"/>
          <w:sz w:val="24"/>
          <w:szCs w:val="24"/>
          <w:highlight w:val="none"/>
          <w:lang w:val="zh-CN" w:eastAsia="zh-CN"/>
        </w:rPr>
        <w:t>进行专家安全技术服务。</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eastAsia="zh-CN"/>
        </w:rPr>
        <w:t>2、</w:t>
      </w:r>
      <w:r>
        <w:rPr>
          <w:rFonts w:hint="eastAsia" w:ascii="宋体" w:hAnsi="宋体" w:eastAsia="宋体" w:cs="宋体"/>
          <w:b/>
          <w:bCs/>
          <w:color w:val="auto"/>
          <w:kern w:val="0"/>
          <w:sz w:val="24"/>
          <w:szCs w:val="24"/>
          <w:highlight w:val="none"/>
          <w:lang w:val="zh-CN"/>
        </w:rPr>
        <w:t>技术服务的方式：</w:t>
      </w:r>
      <w:r>
        <w:rPr>
          <w:rFonts w:hint="eastAsia" w:ascii="宋体" w:hAnsi="宋体" w:eastAsia="宋体" w:cs="宋体"/>
          <w:color w:val="auto"/>
          <w:kern w:val="0"/>
          <w:sz w:val="24"/>
          <w:szCs w:val="24"/>
          <w:highlight w:val="none"/>
          <w:lang w:val="zh-CN"/>
        </w:rPr>
        <w:t>组织专业技术队伍全程开展技术服务，安排</w:t>
      </w:r>
      <w:r>
        <w:rPr>
          <w:rFonts w:hint="eastAsia" w:ascii="宋体" w:hAnsi="宋体" w:eastAsia="宋体" w:cs="宋体"/>
          <w:color w:val="auto"/>
          <w:kern w:val="0"/>
          <w:sz w:val="24"/>
          <w:szCs w:val="24"/>
          <w:highlight w:val="none"/>
          <w:lang w:val="zh-CN" w:eastAsia="zh-CN"/>
        </w:rPr>
        <w:t>专人</w:t>
      </w:r>
      <w:r>
        <w:rPr>
          <w:rFonts w:hint="eastAsia" w:ascii="宋体" w:hAnsi="宋体" w:eastAsia="宋体" w:cs="宋体"/>
          <w:color w:val="auto"/>
          <w:kern w:val="0"/>
          <w:sz w:val="24"/>
          <w:szCs w:val="24"/>
          <w:highlight w:val="none"/>
          <w:lang w:val="zh-CN"/>
        </w:rPr>
        <w:t>专职从事资料整理及网报工作，协助相关项目的质量验收。</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 履约保证金</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乙方在签订合同前必须向甲方交纳履约保证金，金额为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元（以</w:t>
      </w:r>
      <w:r>
        <w:rPr>
          <w:rFonts w:hint="eastAsia" w:ascii="宋体" w:hAnsi="宋体" w:cs="宋体"/>
          <w:color w:val="auto"/>
          <w:sz w:val="24"/>
          <w:szCs w:val="24"/>
          <w:highlight w:val="none"/>
          <w:lang w:val="en-US" w:eastAsia="zh-CN"/>
        </w:rPr>
        <w:t>单价*</w:t>
      </w:r>
      <w:r>
        <w:rPr>
          <w:rFonts w:hint="eastAsia" w:ascii="宋体" w:hAnsi="宋体" w:eastAsia="宋体" w:cs="宋体"/>
          <w:color w:val="auto"/>
          <w:sz w:val="24"/>
          <w:szCs w:val="24"/>
          <w:highlight w:val="none"/>
          <w:lang w:val="en-US" w:eastAsia="zh-CN"/>
        </w:rPr>
        <w:t>500家</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计）</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按要求保质保量的完成该项目合同并通过验收后，</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凭</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提交的申请，一次性无息退还该合同项目的履约保证金。</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乙方应按下列要求完成技术服务工作：</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1.技术服务地点：</w:t>
      </w:r>
      <w:r>
        <w:rPr>
          <w:rFonts w:hint="eastAsia" w:ascii="宋体" w:hAnsi="宋体" w:eastAsia="宋体" w:cs="宋体"/>
          <w:color w:val="auto"/>
          <w:sz w:val="24"/>
          <w:szCs w:val="24"/>
          <w:highlight w:val="none"/>
          <w:u w:val="single"/>
          <w:lang w:val="en-US" w:eastAsia="zh-CN"/>
        </w:rPr>
        <w:t>启东市汇龙镇</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2.技术服务期限：自合同签订之日起两年，根据被服务单位以及相关条线部门的评价结果确定是否续签，续签最多一年（评价周期为一年一次，合同期内评价较满意率均达到90%</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以上方可续签）。</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.项目需求</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（1）每月对汇龙镇属地</w:t>
      </w:r>
      <w:r>
        <w:rPr>
          <w:rFonts w:hint="eastAsia" w:ascii="宋体" w:hAnsi="宋体" w:cs="宋体"/>
          <w:color w:val="auto"/>
          <w:kern w:val="0"/>
          <w:sz w:val="24"/>
          <w:szCs w:val="24"/>
          <w:highlight w:val="none"/>
          <w:lang w:val="en-US" w:eastAsia="zh-CN"/>
        </w:rPr>
        <w:t>生产经营单位</w:t>
      </w:r>
      <w:r>
        <w:rPr>
          <w:rFonts w:hint="eastAsia" w:ascii="宋体" w:hAnsi="宋体" w:eastAsia="宋体" w:cs="宋体"/>
          <w:color w:val="auto"/>
          <w:kern w:val="0"/>
          <w:sz w:val="24"/>
          <w:szCs w:val="24"/>
          <w:highlight w:val="none"/>
          <w:lang w:val="zh-CN" w:eastAsia="zh-CN"/>
        </w:rPr>
        <w:t>进行安全</w:t>
      </w:r>
      <w:r>
        <w:rPr>
          <w:rFonts w:hint="eastAsia" w:ascii="宋体" w:hAnsi="宋体" w:cs="宋体"/>
          <w:color w:val="auto"/>
          <w:kern w:val="0"/>
          <w:sz w:val="24"/>
          <w:szCs w:val="24"/>
          <w:highlight w:val="none"/>
          <w:lang w:val="en-US" w:eastAsia="zh-CN"/>
        </w:rPr>
        <w:t>技术服务</w:t>
      </w:r>
      <w:r>
        <w:rPr>
          <w:rFonts w:hint="eastAsia" w:ascii="宋体" w:hAnsi="宋体" w:eastAsia="宋体" w:cs="宋体"/>
          <w:color w:val="auto"/>
          <w:kern w:val="0"/>
          <w:sz w:val="24"/>
          <w:szCs w:val="24"/>
          <w:highlight w:val="none"/>
          <w:lang w:val="zh-CN" w:eastAsia="zh-CN"/>
        </w:rPr>
        <w:t>，拿出检查方案，提出整改意见，并按照</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zh-CN" w:eastAsia="zh-CN"/>
        </w:rPr>
        <w:t>的要求进行汇总。若有特殊情况，应按</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zh-CN" w:eastAsia="zh-CN"/>
        </w:rPr>
        <w:t>要求时间对</w:t>
      </w:r>
      <w:r>
        <w:rPr>
          <w:rFonts w:hint="eastAsia" w:ascii="宋体" w:hAnsi="宋体" w:cs="宋体"/>
          <w:color w:val="auto"/>
          <w:kern w:val="0"/>
          <w:sz w:val="24"/>
          <w:szCs w:val="24"/>
          <w:highlight w:val="none"/>
          <w:lang w:val="en-US" w:eastAsia="zh-CN"/>
        </w:rPr>
        <w:t>生产经营单位</w:t>
      </w:r>
      <w:r>
        <w:rPr>
          <w:rFonts w:hint="eastAsia" w:ascii="宋体" w:hAnsi="宋体" w:eastAsia="宋体" w:cs="宋体"/>
          <w:color w:val="auto"/>
          <w:kern w:val="0"/>
          <w:sz w:val="24"/>
          <w:szCs w:val="24"/>
          <w:highlight w:val="none"/>
          <w:lang w:val="zh-CN" w:eastAsia="zh-CN"/>
        </w:rPr>
        <w:t>进行</w:t>
      </w:r>
      <w:r>
        <w:rPr>
          <w:rFonts w:hint="eastAsia" w:ascii="宋体" w:hAnsi="宋体" w:cs="宋体"/>
          <w:color w:val="auto"/>
          <w:kern w:val="0"/>
          <w:sz w:val="24"/>
          <w:szCs w:val="24"/>
          <w:highlight w:val="none"/>
          <w:lang w:val="en-US" w:eastAsia="zh-CN"/>
        </w:rPr>
        <w:t>技术服务</w:t>
      </w:r>
      <w:r>
        <w:rPr>
          <w:rFonts w:hint="eastAsia" w:ascii="宋体" w:hAnsi="宋体" w:eastAsia="宋体" w:cs="宋体"/>
          <w:color w:val="auto"/>
          <w:kern w:val="0"/>
          <w:sz w:val="24"/>
          <w:szCs w:val="24"/>
          <w:highlight w:val="none"/>
          <w:lang w:val="zh-CN" w:eastAsia="zh-CN"/>
        </w:rPr>
        <w:t>。</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（2）每季度对</w:t>
      </w:r>
      <w:r>
        <w:rPr>
          <w:rFonts w:hint="eastAsia" w:ascii="宋体" w:hAnsi="宋体" w:eastAsia="宋体" w:cs="宋体"/>
          <w:color w:val="auto"/>
          <w:kern w:val="0"/>
          <w:sz w:val="24"/>
          <w:szCs w:val="24"/>
          <w:highlight w:val="none"/>
          <w:lang w:val="en-US" w:eastAsia="zh-CN"/>
        </w:rPr>
        <w:t>养老院、学校、医院、加油站、餐饮</w:t>
      </w:r>
      <w:r>
        <w:rPr>
          <w:rFonts w:hint="eastAsia" w:ascii="宋体" w:hAnsi="宋体" w:cs="宋体"/>
          <w:color w:val="auto"/>
          <w:kern w:val="0"/>
          <w:sz w:val="24"/>
          <w:szCs w:val="24"/>
          <w:highlight w:val="none"/>
          <w:lang w:val="en-US" w:eastAsia="zh-CN"/>
        </w:rPr>
        <w:t>、在建工地</w:t>
      </w:r>
      <w:r>
        <w:rPr>
          <w:rFonts w:hint="eastAsia" w:ascii="宋体" w:hAnsi="宋体" w:eastAsia="宋体" w:cs="宋体"/>
          <w:color w:val="auto"/>
          <w:kern w:val="0"/>
          <w:sz w:val="24"/>
          <w:szCs w:val="24"/>
          <w:highlight w:val="none"/>
          <w:lang w:val="en-US" w:eastAsia="zh-CN"/>
        </w:rPr>
        <w:t>等重点行业领域</w:t>
      </w:r>
      <w:r>
        <w:rPr>
          <w:rFonts w:hint="eastAsia" w:ascii="宋体" w:hAnsi="宋体" w:eastAsia="宋体" w:cs="宋体"/>
          <w:color w:val="auto"/>
          <w:kern w:val="0"/>
          <w:sz w:val="24"/>
          <w:szCs w:val="24"/>
          <w:highlight w:val="none"/>
          <w:lang w:val="zh-CN" w:eastAsia="zh-CN"/>
        </w:rPr>
        <w:t>进行安全</w:t>
      </w:r>
      <w:r>
        <w:rPr>
          <w:rFonts w:hint="eastAsia" w:ascii="宋体" w:hAnsi="宋体" w:cs="宋体"/>
          <w:color w:val="auto"/>
          <w:kern w:val="0"/>
          <w:sz w:val="24"/>
          <w:szCs w:val="24"/>
          <w:highlight w:val="none"/>
          <w:lang w:val="en-US" w:eastAsia="zh-CN"/>
        </w:rPr>
        <w:t>技术服务</w:t>
      </w:r>
      <w:r>
        <w:rPr>
          <w:rFonts w:hint="eastAsia" w:ascii="宋体" w:hAnsi="宋体" w:eastAsia="宋体" w:cs="宋体"/>
          <w:color w:val="auto"/>
          <w:kern w:val="0"/>
          <w:sz w:val="24"/>
          <w:szCs w:val="24"/>
          <w:highlight w:val="none"/>
          <w:lang w:val="zh-CN" w:eastAsia="zh-CN"/>
        </w:rPr>
        <w:t>，并按照</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zh-CN" w:eastAsia="zh-CN"/>
        </w:rPr>
        <w:t>的要求形成</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eastAsia="zh-CN"/>
        </w:rPr>
        <w:t>记录。</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具体包含：</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①</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eastAsia="zh-CN"/>
        </w:rPr>
        <w:t>内容：指出</w:t>
      </w:r>
      <w:r>
        <w:rPr>
          <w:rFonts w:hint="eastAsia" w:ascii="宋体" w:hAnsi="宋体" w:cs="宋体"/>
          <w:color w:val="auto"/>
          <w:kern w:val="0"/>
          <w:sz w:val="24"/>
          <w:szCs w:val="24"/>
          <w:highlight w:val="none"/>
          <w:lang w:val="en-US" w:eastAsia="zh-CN"/>
        </w:rPr>
        <w:t>被服务单位</w:t>
      </w:r>
      <w:r>
        <w:rPr>
          <w:rFonts w:hint="eastAsia" w:ascii="宋体" w:hAnsi="宋体" w:eastAsia="宋体" w:cs="宋体"/>
          <w:color w:val="auto"/>
          <w:kern w:val="0"/>
          <w:sz w:val="24"/>
          <w:szCs w:val="24"/>
          <w:highlight w:val="none"/>
          <w:lang w:val="zh-CN" w:eastAsia="zh-CN"/>
        </w:rPr>
        <w:t>存在的</w:t>
      </w:r>
      <w:r>
        <w:rPr>
          <w:rFonts w:hint="eastAsia" w:ascii="宋体" w:hAnsi="宋体" w:cs="宋体"/>
          <w:color w:val="auto"/>
          <w:kern w:val="0"/>
          <w:sz w:val="24"/>
          <w:szCs w:val="24"/>
          <w:highlight w:val="none"/>
          <w:lang w:val="en-US" w:eastAsia="zh-CN"/>
        </w:rPr>
        <w:t>安全</w:t>
      </w:r>
      <w:r>
        <w:rPr>
          <w:rFonts w:hint="eastAsia" w:ascii="宋体" w:hAnsi="宋体" w:eastAsia="宋体" w:cs="宋体"/>
          <w:color w:val="auto"/>
          <w:kern w:val="0"/>
          <w:sz w:val="24"/>
          <w:szCs w:val="24"/>
          <w:highlight w:val="none"/>
          <w:lang w:val="zh-CN" w:eastAsia="zh-CN"/>
        </w:rPr>
        <w:t>隐患，现场</w:t>
      </w:r>
      <w:r>
        <w:rPr>
          <w:rFonts w:hint="eastAsia" w:ascii="宋体" w:hAnsi="宋体" w:cs="宋体"/>
          <w:color w:val="auto"/>
          <w:kern w:val="0"/>
          <w:sz w:val="24"/>
          <w:szCs w:val="24"/>
          <w:highlight w:val="none"/>
          <w:lang w:val="en-US" w:eastAsia="zh-CN"/>
        </w:rPr>
        <w:t>安全隐患</w:t>
      </w:r>
      <w:r>
        <w:rPr>
          <w:rFonts w:hint="eastAsia" w:ascii="宋体" w:hAnsi="宋体" w:eastAsia="宋体" w:cs="宋体"/>
          <w:color w:val="auto"/>
          <w:kern w:val="0"/>
          <w:sz w:val="24"/>
          <w:szCs w:val="24"/>
          <w:highlight w:val="none"/>
          <w:lang w:val="zh-CN" w:eastAsia="zh-CN"/>
        </w:rPr>
        <w:t>行为</w:t>
      </w:r>
      <w:r>
        <w:rPr>
          <w:rFonts w:hint="eastAsia" w:ascii="宋体" w:hAnsi="宋体" w:cs="宋体"/>
          <w:color w:val="auto"/>
          <w:kern w:val="0"/>
          <w:sz w:val="24"/>
          <w:szCs w:val="24"/>
          <w:highlight w:val="none"/>
          <w:lang w:val="en-US" w:eastAsia="zh-CN"/>
        </w:rPr>
        <w:t>纠正</w:t>
      </w:r>
      <w:r>
        <w:rPr>
          <w:rFonts w:hint="eastAsia" w:ascii="宋体" w:hAnsi="宋体" w:eastAsia="宋体" w:cs="宋体"/>
          <w:color w:val="auto"/>
          <w:kern w:val="0"/>
          <w:sz w:val="24"/>
          <w:szCs w:val="24"/>
          <w:highlight w:val="none"/>
          <w:lang w:val="zh-CN" w:eastAsia="zh-CN"/>
        </w:rPr>
        <w:t>，并进行技术指导。</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②</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eastAsia="zh-CN"/>
        </w:rPr>
        <w:t>时间：</w:t>
      </w:r>
      <w:r>
        <w:rPr>
          <w:rFonts w:hint="eastAsia" w:ascii="宋体" w:hAnsi="宋体" w:cs="宋体"/>
          <w:color w:val="auto"/>
          <w:kern w:val="0"/>
          <w:sz w:val="24"/>
          <w:szCs w:val="24"/>
          <w:highlight w:val="none"/>
          <w:lang w:val="en-US" w:eastAsia="zh-CN"/>
        </w:rPr>
        <w:t>按照甲方要求，合理安排好时间和人员</w:t>
      </w:r>
      <w:r>
        <w:rPr>
          <w:rFonts w:hint="eastAsia" w:ascii="宋体" w:hAnsi="宋体" w:eastAsia="宋体" w:cs="宋体"/>
          <w:color w:val="auto"/>
          <w:kern w:val="0"/>
          <w:sz w:val="24"/>
          <w:szCs w:val="24"/>
          <w:highlight w:val="none"/>
          <w:lang w:val="zh-CN" w:eastAsia="zh-CN"/>
        </w:rPr>
        <w:t>，并就</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eastAsia="zh-CN"/>
        </w:rPr>
        <w:t>结果及时提出整改建议。</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③人员要求：身体健康</w:t>
      </w:r>
      <w:r>
        <w:rPr>
          <w:rFonts w:hint="eastAsia" w:ascii="宋体" w:hAnsi="宋体" w:cs="宋体"/>
          <w:color w:val="auto"/>
          <w:kern w:val="0"/>
          <w:sz w:val="24"/>
          <w:szCs w:val="24"/>
          <w:highlight w:val="none"/>
          <w:lang w:val="en-US" w:eastAsia="zh-CN"/>
        </w:rPr>
        <w:t>，适合进行室内外技术指导服务</w:t>
      </w:r>
      <w:r>
        <w:rPr>
          <w:rFonts w:hint="eastAsia" w:ascii="宋体" w:hAnsi="宋体" w:eastAsia="宋体" w:cs="宋体"/>
          <w:color w:val="auto"/>
          <w:kern w:val="0"/>
          <w:sz w:val="24"/>
          <w:szCs w:val="24"/>
          <w:highlight w:val="none"/>
          <w:lang w:val="zh-CN" w:eastAsia="zh-CN"/>
        </w:rPr>
        <w:t>。</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④人数要求：安排不少于</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eastAsia="zh-CN"/>
        </w:rPr>
        <w:t>名安全技术</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eastAsia="zh-CN"/>
        </w:rPr>
        <w:t>人员，具备条件：①注册安全工程师证书</w:t>
      </w:r>
      <w:r>
        <w:rPr>
          <w:rFonts w:hint="eastAsia" w:ascii="宋体" w:hAnsi="宋体" w:cs="宋体"/>
          <w:color w:val="auto"/>
          <w:sz w:val="24"/>
          <w:highlight w:val="none"/>
          <w:lang w:val="en-US" w:eastAsia="zh-CN"/>
        </w:rPr>
        <w:t>（至少含化工类、建筑类）、注册消防工程师</w:t>
      </w:r>
      <w:r>
        <w:rPr>
          <w:rFonts w:hint="eastAsia" w:ascii="宋体" w:hAnsi="宋体" w:eastAsia="宋体" w:cs="宋体"/>
          <w:color w:val="auto"/>
          <w:kern w:val="0"/>
          <w:sz w:val="24"/>
          <w:szCs w:val="24"/>
          <w:highlight w:val="none"/>
          <w:lang w:val="zh-CN" w:eastAsia="zh-CN"/>
        </w:rPr>
        <w:t>。②中级以上职称。须备用乘用车，检查组人员、车辆安全责任以及车辆、食宿费用均由</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zh-CN" w:eastAsia="zh-CN"/>
        </w:rPr>
        <w:t>承担。</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⑤培训内容：每年最少</w:t>
      </w:r>
      <w:r>
        <w:rPr>
          <w:rFonts w:hint="eastAsia" w:ascii="宋体" w:hAnsi="宋体" w:cs="宋体"/>
          <w:color w:val="auto"/>
          <w:kern w:val="0"/>
          <w:sz w:val="24"/>
          <w:szCs w:val="24"/>
          <w:highlight w:val="none"/>
          <w:lang w:val="en-US" w:eastAsia="zh-CN"/>
        </w:rPr>
        <w:t>六</w:t>
      </w:r>
      <w:r>
        <w:rPr>
          <w:rFonts w:hint="eastAsia" w:ascii="宋体" w:hAnsi="宋体" w:eastAsia="宋体" w:cs="宋体"/>
          <w:color w:val="auto"/>
          <w:kern w:val="0"/>
          <w:sz w:val="24"/>
          <w:szCs w:val="24"/>
          <w:highlight w:val="none"/>
          <w:lang w:val="zh-CN" w:eastAsia="zh-CN"/>
        </w:rPr>
        <w:t>次专业安全知识、现场安全监管知识与案例分析培训讲座：</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A、对照现场隐患排查讲解安全隐患整改及安全监管知识技术。</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B、专家宣贯上级</w:t>
      </w:r>
      <w:r>
        <w:rPr>
          <w:rFonts w:hint="eastAsia" w:ascii="宋体" w:hAnsi="宋体" w:eastAsia="宋体" w:cs="宋体"/>
          <w:color w:val="auto"/>
          <w:kern w:val="0"/>
          <w:sz w:val="24"/>
          <w:szCs w:val="24"/>
          <w:highlight w:val="none"/>
          <w:lang w:val="en-US" w:eastAsia="zh-CN"/>
        </w:rPr>
        <w:t>部门</w:t>
      </w:r>
      <w:r>
        <w:rPr>
          <w:rFonts w:hint="eastAsia" w:ascii="宋体" w:hAnsi="宋体" w:eastAsia="宋体" w:cs="宋体"/>
          <w:color w:val="auto"/>
          <w:kern w:val="0"/>
          <w:sz w:val="24"/>
          <w:szCs w:val="24"/>
          <w:highlight w:val="none"/>
          <w:lang w:val="zh-CN" w:eastAsia="zh-CN"/>
        </w:rPr>
        <w:t>最新颁布的安全规范、管理标准及安全防护知识</w:t>
      </w:r>
      <w:r>
        <w:rPr>
          <w:rFonts w:hint="eastAsia" w:ascii="宋体" w:hAnsi="宋体" w:eastAsia="宋体" w:cs="宋体"/>
          <w:color w:val="auto"/>
          <w:kern w:val="0"/>
          <w:sz w:val="24"/>
          <w:szCs w:val="24"/>
          <w:highlight w:val="none"/>
          <w:lang w:val="en-US" w:eastAsia="zh-CN"/>
        </w:rPr>
        <w:t>等</w:t>
      </w:r>
      <w:r>
        <w:rPr>
          <w:rFonts w:hint="eastAsia" w:ascii="宋体" w:hAnsi="宋体" w:eastAsia="宋体" w:cs="宋体"/>
          <w:color w:val="auto"/>
          <w:kern w:val="0"/>
          <w:sz w:val="24"/>
          <w:szCs w:val="24"/>
          <w:highlight w:val="none"/>
          <w:lang w:val="zh-CN" w:eastAsia="zh-CN"/>
        </w:rPr>
        <w:t>。</w:t>
      </w:r>
    </w:p>
    <w:p>
      <w:pPr>
        <w:keepNext w:val="0"/>
        <w:keepLines w:val="0"/>
        <w:pageBreakBefore w:val="0"/>
        <w:kinsoku/>
        <w:wordWrap/>
        <w:overflowPunct/>
        <w:topLinePunct w:val="0"/>
        <w:bidi w:val="0"/>
        <w:spacing w:line="480" w:lineRule="exact"/>
        <w:ind w:firstLine="480" w:firstLineChars="20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⑥项目服务要求：培训时间及内容、</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eastAsia="zh-CN"/>
        </w:rPr>
        <w:t>时间及人员数量和人员专业职称需听从</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zh-CN" w:eastAsia="zh-CN"/>
        </w:rPr>
        <w:t>安排。</w:t>
      </w:r>
    </w:p>
    <w:p>
      <w:pPr>
        <w:spacing w:line="480" w:lineRule="exact"/>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eastAsia="zh-CN"/>
        </w:rPr>
        <w:t>技术服务成果提交：每次</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形成</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记录台账资料，如实记录</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情况，对存在的突出问题或共性问题要提交专项建议报告，</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zh-CN"/>
        </w:rPr>
        <w:t>专家在</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记录、报告上签字，同时</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zh-CN"/>
        </w:rPr>
        <w:t>加盖单位公章</w:t>
      </w:r>
      <w:r>
        <w:rPr>
          <w:rFonts w:hint="eastAsia" w:ascii="宋体" w:hAnsi="宋体" w:eastAsia="宋体" w:cs="宋体"/>
          <w:color w:val="auto"/>
          <w:kern w:val="0"/>
          <w:sz w:val="24"/>
          <w:szCs w:val="24"/>
          <w:highlight w:val="none"/>
          <w:lang w:val="zh-CN" w:eastAsia="zh-CN"/>
        </w:rPr>
        <w:t>。</w:t>
      </w:r>
    </w:p>
    <w:p>
      <w:pPr>
        <w:keepNext w:val="0"/>
        <w:keepLines w:val="0"/>
        <w:pageBreakBefore w:val="0"/>
        <w:numPr>
          <w:ilvl w:val="0"/>
          <w:numId w:val="0"/>
        </w:numPr>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zh-CN" w:eastAsia="zh-CN"/>
        </w:rPr>
        <w:t>（4）</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sz w:val="24"/>
          <w:szCs w:val="24"/>
          <w:highlight w:val="none"/>
          <w:lang w:val="zh-CN" w:eastAsia="zh-CN"/>
        </w:rPr>
        <w:t>应对其派驻本项目的人员办理意外险等，若发生安全事故造成人员伤害的，均由</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sz w:val="24"/>
          <w:szCs w:val="24"/>
          <w:highlight w:val="none"/>
          <w:lang w:val="zh-CN" w:eastAsia="zh-CN"/>
        </w:rPr>
        <w:t>承担所有责任与损失。</w:t>
      </w:r>
      <w:r>
        <w:rPr>
          <w:rFonts w:hint="eastAsia" w:ascii="宋体" w:hAnsi="宋体" w:eastAsia="宋体" w:cs="宋体"/>
          <w:bCs w:val="0"/>
          <w:color w:val="auto"/>
          <w:kern w:val="0"/>
          <w:sz w:val="24"/>
          <w:szCs w:val="24"/>
          <w:highlight w:val="none"/>
          <w:lang w:val="zh-CN"/>
        </w:rPr>
        <w:t xml:space="preserve">  </w:t>
      </w:r>
    </w:p>
    <w:p>
      <w:pPr>
        <w:keepNext w:val="0"/>
        <w:keepLines w:val="0"/>
        <w:pageBreakBefore w:val="0"/>
        <w:numPr>
          <w:ilvl w:val="0"/>
          <w:numId w:val="0"/>
        </w:numPr>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质量</w:t>
      </w:r>
      <w:r>
        <w:rPr>
          <w:rFonts w:hint="eastAsia" w:ascii="宋体" w:hAnsi="宋体" w:eastAsia="宋体" w:cs="宋体"/>
          <w:color w:val="auto"/>
          <w:kern w:val="0"/>
          <w:sz w:val="24"/>
          <w:szCs w:val="24"/>
          <w:highlight w:val="none"/>
          <w:lang w:eastAsia="zh-CN"/>
        </w:rPr>
        <w:t>要求</w:t>
      </w:r>
      <w:r>
        <w:rPr>
          <w:rFonts w:hint="eastAsia" w:ascii="宋体" w:hAnsi="宋体" w:eastAsia="宋体" w:cs="宋体"/>
          <w:color w:val="auto"/>
          <w:kern w:val="0"/>
          <w:sz w:val="24"/>
          <w:szCs w:val="24"/>
          <w:highlight w:val="none"/>
        </w:rPr>
        <w:t>：</w:t>
      </w:r>
      <w:r>
        <w:rPr>
          <w:rFonts w:hint="eastAsia" w:ascii="宋体" w:hAnsi="宋体" w:cs="宋体"/>
          <w:bCs w:val="0"/>
          <w:color w:val="auto"/>
          <w:sz w:val="24"/>
          <w:szCs w:val="24"/>
          <w:highlight w:val="none"/>
          <w:lang w:val="en-US" w:eastAsia="zh-CN"/>
        </w:rPr>
        <w:t>符合甲方对安全技术服务的要求，甲方以及被服务单位（企业）对</w:t>
      </w:r>
      <w:r>
        <w:rPr>
          <w:rFonts w:hint="eastAsia" w:ascii="宋体" w:hAnsi="宋体" w:cs="宋体"/>
          <w:color w:val="auto"/>
          <w:kern w:val="0"/>
          <w:sz w:val="24"/>
          <w:szCs w:val="24"/>
          <w:highlight w:val="none"/>
          <w:lang w:val="en-US" w:eastAsia="zh-CN"/>
        </w:rPr>
        <w:t>乙方的安全技术服务质量进行</w:t>
      </w:r>
      <w:r>
        <w:rPr>
          <w:rFonts w:hint="eastAsia" w:ascii="宋体" w:hAnsi="宋体" w:cs="宋体"/>
          <w:bCs w:val="0"/>
          <w:color w:val="auto"/>
          <w:sz w:val="24"/>
          <w:szCs w:val="24"/>
          <w:highlight w:val="none"/>
          <w:lang w:val="en-US" w:eastAsia="zh-CN"/>
        </w:rPr>
        <w:t>等次评价（评价等次为满意、较满意、合格、不合格）</w:t>
      </w:r>
      <w:r>
        <w:rPr>
          <w:rFonts w:hint="eastAsia" w:ascii="宋体" w:hAnsi="宋体" w:eastAsia="宋体" w:cs="宋体"/>
          <w:bCs w:val="0"/>
          <w:color w:val="auto"/>
          <w:kern w:val="0"/>
          <w:sz w:val="24"/>
          <w:szCs w:val="24"/>
          <w:highlight w:val="none"/>
          <w:lang w:val="zh-CN"/>
        </w:rPr>
        <w:t>。</w:t>
      </w:r>
    </w:p>
    <w:p>
      <w:pPr>
        <w:keepNext w:val="0"/>
        <w:keepLines w:val="0"/>
        <w:pageBreakBefore w:val="0"/>
        <w:kinsoku/>
        <w:wordWrap/>
        <w:overflowPunct/>
        <w:topLinePunct w:val="0"/>
        <w:autoSpaceDE/>
        <w:autoSpaceDN/>
        <w:bidi w:val="0"/>
        <w:adjustRightInd/>
        <w:spacing w:after="0" w:line="480" w:lineRule="exact"/>
        <w:ind w:firstLine="697"/>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 甲方向乙方支付技术服务报酬及支付方式</w:t>
      </w:r>
    </w:p>
    <w:p>
      <w:pPr>
        <w:keepNext w:val="0"/>
        <w:keepLines w:val="0"/>
        <w:pageBreakBefore w:val="0"/>
        <w:kinsoku/>
        <w:wordWrap/>
        <w:overflowPunct/>
        <w:topLinePunct w:val="0"/>
        <w:autoSpaceDE/>
        <w:autoSpaceDN/>
        <w:bidi w:val="0"/>
        <w:adjustRightInd/>
        <w:spacing w:after="0" w:line="480" w:lineRule="exact"/>
        <w:ind w:firstLine="6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1.本合同技术服务费为</w:t>
      </w:r>
      <w:r>
        <w:rPr>
          <w:rFonts w:hint="eastAsia" w:ascii="宋体" w:hAnsi="宋体" w:eastAsia="宋体" w:cs="宋体"/>
          <w:color w:val="auto"/>
          <w:sz w:val="24"/>
          <w:szCs w:val="24"/>
          <w:highlight w:val="none"/>
          <w:lang w:eastAsia="zh-CN"/>
        </w:rPr>
        <w:t>单价</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元/家•次，</w:t>
      </w:r>
      <w:r>
        <w:rPr>
          <w:rFonts w:hint="eastAsia" w:ascii="宋体" w:hAnsi="宋体" w:eastAsia="宋体" w:cs="宋体"/>
          <w:color w:val="auto"/>
          <w:sz w:val="24"/>
          <w:szCs w:val="24"/>
          <w:highlight w:val="none"/>
          <w:lang w:eastAsia="zh-CN"/>
        </w:rPr>
        <w:t>最终按照实际检查次数进行结算。合同价款</w:t>
      </w:r>
      <w:r>
        <w:rPr>
          <w:rFonts w:hint="eastAsia" w:ascii="宋体" w:hAnsi="宋体" w:eastAsia="宋体" w:cs="宋体"/>
          <w:color w:val="auto"/>
          <w:sz w:val="24"/>
          <w:szCs w:val="24"/>
          <w:highlight w:val="none"/>
        </w:rPr>
        <w:t>应包括</w:t>
      </w:r>
      <w:r>
        <w:rPr>
          <w:rFonts w:hint="eastAsia" w:ascii="宋体" w:hAnsi="宋体" w:eastAsia="宋体" w:cs="宋体"/>
          <w:color w:val="auto"/>
          <w:sz w:val="24"/>
          <w:szCs w:val="24"/>
          <w:highlight w:val="none"/>
          <w:lang w:eastAsia="zh-CN"/>
        </w:rPr>
        <w:t>所有技术内容</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全部</w:t>
      </w:r>
      <w:r>
        <w:rPr>
          <w:rFonts w:hint="eastAsia" w:ascii="宋体" w:hAnsi="宋体" w:eastAsia="宋体" w:cs="宋体"/>
          <w:color w:val="auto"/>
          <w:sz w:val="24"/>
          <w:szCs w:val="24"/>
          <w:highlight w:val="none"/>
        </w:rPr>
        <w:t>费用、税金</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拟获得的利润等一切费用。</w:t>
      </w:r>
    </w:p>
    <w:p>
      <w:pPr>
        <w:keepNext w:val="0"/>
        <w:keepLines w:val="0"/>
        <w:pageBreakBefore w:val="0"/>
        <w:kinsoku/>
        <w:wordWrap/>
        <w:overflowPunct/>
        <w:topLinePunct w:val="0"/>
        <w:autoSpaceDE/>
        <w:autoSpaceDN/>
        <w:bidi w:val="0"/>
        <w:adjustRightInd/>
        <w:spacing w:after="0" w:line="480" w:lineRule="exact"/>
        <w:ind w:firstLine="6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具体支付方式和时间如下：</w:t>
      </w:r>
    </w:p>
    <w:p>
      <w:pPr>
        <w:keepNext w:val="0"/>
        <w:keepLines w:val="0"/>
        <w:pageBreakBefore w:val="0"/>
        <w:numPr>
          <w:ilvl w:val="0"/>
          <w:numId w:val="4"/>
        </w:numPr>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支付方式：</w:t>
      </w:r>
      <w:r>
        <w:rPr>
          <w:rFonts w:hint="eastAsia" w:ascii="宋体" w:hAnsi="宋体" w:eastAsia="宋体" w:cs="宋体"/>
          <w:color w:val="auto"/>
          <w:sz w:val="24"/>
          <w:szCs w:val="24"/>
          <w:highlight w:val="none"/>
          <w:u w:val="single"/>
        </w:rPr>
        <w:t>银行转账</w:t>
      </w:r>
      <w:r>
        <w:rPr>
          <w:rFonts w:hint="eastAsia" w:ascii="宋体" w:hAnsi="宋体" w:eastAsia="宋体" w:cs="宋体"/>
          <w:color w:val="auto"/>
          <w:sz w:val="24"/>
          <w:szCs w:val="24"/>
          <w:highlight w:val="none"/>
        </w:rPr>
        <w:t>；</w:t>
      </w:r>
    </w:p>
    <w:p>
      <w:pPr>
        <w:keepNext w:val="0"/>
        <w:keepLines w:val="0"/>
        <w:pageBreakBefore w:val="0"/>
        <w:numPr>
          <w:ilvl w:val="0"/>
          <w:numId w:val="4"/>
        </w:numPr>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支付时间：</w:t>
      </w:r>
      <w:r>
        <w:rPr>
          <w:rFonts w:hint="eastAsia" w:ascii="宋体" w:hAnsi="宋体" w:eastAsia="宋体" w:cs="宋体"/>
          <w:color w:val="auto"/>
          <w:sz w:val="24"/>
          <w:szCs w:val="24"/>
          <w:highlight w:val="none"/>
          <w:u w:val="single"/>
          <w:lang w:val="en-US" w:eastAsia="zh-CN"/>
        </w:rPr>
        <w:t>合同期内</w:t>
      </w:r>
      <w:r>
        <w:rPr>
          <w:rFonts w:hint="eastAsia" w:ascii="宋体" w:hAnsi="宋体" w:cs="宋体"/>
          <w:color w:val="auto"/>
          <w:sz w:val="24"/>
          <w:szCs w:val="24"/>
          <w:highlight w:val="none"/>
          <w:u w:val="single"/>
          <w:lang w:val="en-US" w:eastAsia="zh-CN"/>
        </w:rPr>
        <w:t>每一整年</w:t>
      </w:r>
      <w:r>
        <w:rPr>
          <w:rFonts w:hint="eastAsia" w:ascii="宋体" w:hAnsi="宋体" w:eastAsia="宋体" w:cs="宋体"/>
          <w:color w:val="auto"/>
          <w:sz w:val="24"/>
          <w:szCs w:val="24"/>
          <w:highlight w:val="none"/>
          <w:u w:val="single"/>
          <w:lang w:val="en-US" w:eastAsia="zh-CN"/>
        </w:rPr>
        <w:t>经</w:t>
      </w:r>
      <w:r>
        <w:rPr>
          <w:rFonts w:hint="eastAsia" w:ascii="宋体" w:hAnsi="宋体"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lang w:val="en-US" w:eastAsia="zh-CN"/>
        </w:rPr>
        <w:t>项目考核评价较满意率达到90%</w:t>
      </w:r>
      <w:r>
        <w:rPr>
          <w:rFonts w:hint="eastAsia" w:ascii="宋体" w:hAnsi="宋体" w:cs="宋体"/>
          <w:color w:val="auto"/>
          <w:sz w:val="24"/>
          <w:szCs w:val="24"/>
          <w:highlight w:val="none"/>
          <w:u w:val="single"/>
          <w:lang w:val="en-US" w:eastAsia="zh-CN"/>
        </w:rPr>
        <w:t>及</w:t>
      </w:r>
      <w:r>
        <w:rPr>
          <w:rFonts w:hint="eastAsia" w:ascii="宋体" w:hAnsi="宋体" w:eastAsia="宋体" w:cs="宋体"/>
          <w:color w:val="auto"/>
          <w:sz w:val="24"/>
          <w:szCs w:val="24"/>
          <w:highlight w:val="none"/>
          <w:u w:val="single"/>
          <w:lang w:val="en-US" w:eastAsia="zh-CN"/>
        </w:rPr>
        <w:t>以上，</w:t>
      </w:r>
      <w:r>
        <w:rPr>
          <w:rFonts w:hint="eastAsia" w:ascii="宋体" w:hAnsi="宋体"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lang w:val="en-US" w:eastAsia="zh-CN"/>
        </w:rPr>
        <w:t>在合同总价内按实支付；未满90%的，扣除10%的应付款</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不计息。（以上支付进程及金额为初步框定，最终支付时间及金额按照</w:t>
      </w:r>
      <w:r>
        <w:rPr>
          <w:rFonts w:hint="eastAsia" w:ascii="宋体" w:hAnsi="宋体"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lang w:val="en-US" w:eastAsia="zh-CN"/>
        </w:rPr>
        <w:t>具体拨款情况而定。）</w:t>
      </w:r>
    </w:p>
    <w:p>
      <w:pPr>
        <w:keepNext w:val="0"/>
        <w:keepLines w:val="0"/>
        <w:pageBreakBefore w:val="0"/>
        <w:kinsoku/>
        <w:wordWrap/>
        <w:overflowPunct/>
        <w:topLinePunct w:val="0"/>
        <w:autoSpaceDE/>
        <w:autoSpaceDN/>
        <w:bidi w:val="0"/>
        <w:adjustRightInd/>
        <w:spacing w:after="0" w:line="480" w:lineRule="exact"/>
        <w:ind w:firstLine="697"/>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第五条：甲乙双方承担的工作及责任</w:t>
      </w:r>
    </w:p>
    <w:p>
      <w:pPr>
        <w:keepNext w:val="0"/>
        <w:keepLines w:val="0"/>
        <w:pageBreakBefore w:val="0"/>
        <w:numPr>
          <w:ilvl w:val="0"/>
          <w:numId w:val="5"/>
        </w:numPr>
        <w:kinsoku/>
        <w:wordWrap/>
        <w:overflowPunct/>
        <w:topLinePunct w:val="0"/>
        <w:autoSpaceDE/>
        <w:autoSpaceDN/>
        <w:bidi w:val="0"/>
        <w:adjustRightInd/>
        <w:spacing w:after="0" w:line="48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甲方工作和责任</w:t>
      </w:r>
    </w:p>
    <w:p>
      <w:pPr>
        <w:keepNext w:val="0"/>
        <w:keepLines w:val="0"/>
        <w:pageBreakBefore w:val="0"/>
        <w:kinsoku/>
        <w:wordWrap/>
        <w:overflowPunct/>
        <w:topLinePunct w:val="0"/>
        <w:autoSpaceDE/>
        <w:autoSpaceDN/>
        <w:bidi w:val="0"/>
        <w:adjustRightInd/>
        <w:spacing w:after="0" w:line="48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1、甲方牵头组织乙方对辖区内的养老院、学校、医院、加油站、餐饮、在建工地等重点行业领域进行安全技术服务。</w:t>
      </w:r>
    </w:p>
    <w:p>
      <w:pPr>
        <w:keepNext w:val="0"/>
        <w:keepLines w:val="0"/>
        <w:pageBreakBefore w:val="0"/>
        <w:kinsoku/>
        <w:wordWrap/>
        <w:overflowPunct/>
        <w:topLinePunct w:val="0"/>
        <w:autoSpaceDE/>
        <w:autoSpaceDN/>
        <w:bidi w:val="0"/>
        <w:adjustRightInd/>
        <w:spacing w:after="0" w:line="48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2、甲方要求辖区内的</w:t>
      </w:r>
      <w:r>
        <w:rPr>
          <w:rFonts w:hint="eastAsia" w:ascii="宋体" w:hAnsi="宋体" w:cs="宋体"/>
          <w:color w:val="auto"/>
          <w:kern w:val="0"/>
          <w:sz w:val="24"/>
          <w:szCs w:val="24"/>
          <w:highlight w:val="none"/>
          <w:lang w:val="en-US" w:eastAsia="zh-CN"/>
        </w:rPr>
        <w:t>生产经营单位</w:t>
      </w:r>
      <w:r>
        <w:rPr>
          <w:rFonts w:hint="eastAsia" w:ascii="宋体" w:hAnsi="宋体" w:eastAsia="宋体" w:cs="宋体"/>
          <w:color w:val="auto"/>
          <w:sz w:val="24"/>
          <w:szCs w:val="24"/>
          <w:highlight w:val="none"/>
        </w:rPr>
        <w:t>对本</w:t>
      </w:r>
      <w:r>
        <w:rPr>
          <w:rFonts w:hint="eastAsia" w:ascii="宋体" w:hAnsi="宋体" w:cs="宋体"/>
          <w:color w:val="auto"/>
          <w:sz w:val="24"/>
          <w:szCs w:val="24"/>
          <w:highlight w:val="none"/>
          <w:lang w:val="en-US" w:eastAsia="zh-CN"/>
        </w:rPr>
        <w:t>单位</w:t>
      </w:r>
      <w:r>
        <w:rPr>
          <w:rFonts w:hint="eastAsia" w:ascii="宋体" w:hAnsi="宋体" w:eastAsia="宋体" w:cs="宋体"/>
          <w:color w:val="auto"/>
          <w:sz w:val="24"/>
          <w:szCs w:val="24"/>
          <w:highlight w:val="none"/>
        </w:rPr>
        <w:t>的工艺危险性、危险源点、安全设备设施等基本情况应如实告知乙方和乙方专家，主动配合乙方和专家开展安全技术服务工作，确保乙方按计划要求实施安全技术服务。</w:t>
      </w:r>
    </w:p>
    <w:p>
      <w:pPr>
        <w:keepNext w:val="0"/>
        <w:keepLines w:val="0"/>
        <w:pageBreakBefore w:val="0"/>
        <w:kinsoku/>
        <w:wordWrap/>
        <w:overflowPunct/>
        <w:topLinePunct w:val="0"/>
        <w:autoSpaceDE/>
        <w:autoSpaceDN/>
        <w:bidi w:val="0"/>
        <w:adjustRightInd/>
        <w:spacing w:after="0" w:line="48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3、甲方应要求辖区内的</w:t>
      </w:r>
      <w:r>
        <w:rPr>
          <w:rFonts w:hint="eastAsia" w:ascii="宋体" w:hAnsi="宋体" w:cs="宋体"/>
          <w:color w:val="auto"/>
          <w:kern w:val="0"/>
          <w:sz w:val="24"/>
          <w:szCs w:val="24"/>
          <w:highlight w:val="none"/>
          <w:lang w:val="en-US" w:eastAsia="zh-CN"/>
        </w:rPr>
        <w:t>生产经营单位</w:t>
      </w:r>
      <w:r>
        <w:rPr>
          <w:rFonts w:hint="eastAsia" w:ascii="宋体" w:hAnsi="宋体" w:eastAsia="宋体" w:cs="宋体"/>
          <w:color w:val="auto"/>
          <w:sz w:val="24"/>
          <w:szCs w:val="24"/>
          <w:highlight w:val="none"/>
        </w:rPr>
        <w:t>及相关人员应当支持、配合乙方及其工作人员开展工作，向乙方工作人员提供工作便利，对其开放作业场所，提供档案等资料。</w:t>
      </w:r>
    </w:p>
    <w:p>
      <w:pPr>
        <w:keepNext w:val="0"/>
        <w:keepLines w:val="0"/>
        <w:pageBreakBefore w:val="0"/>
        <w:kinsoku/>
        <w:wordWrap/>
        <w:overflowPunct/>
        <w:topLinePunct w:val="0"/>
        <w:autoSpaceDE/>
        <w:autoSpaceDN/>
        <w:bidi w:val="0"/>
        <w:adjustRightInd/>
        <w:spacing w:after="0" w:line="48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4、甲方对乙方委派的安全技术服务工作情况，认为不满意的有权向乙方投诉，要求乙方撤换。甲方有权向乙方推荐行业内专家参与检查。</w:t>
      </w:r>
    </w:p>
    <w:p>
      <w:pPr>
        <w:keepNext w:val="0"/>
        <w:keepLines w:val="0"/>
        <w:pageBreakBefore w:val="0"/>
        <w:kinsoku/>
        <w:wordWrap/>
        <w:overflowPunct/>
        <w:topLinePunct w:val="0"/>
        <w:autoSpaceDE/>
        <w:autoSpaceDN/>
        <w:bidi w:val="0"/>
        <w:adjustRightInd/>
        <w:spacing w:after="0"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（二）乙方的工作和责任</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1、乙方要严格按照国家相关法律、法规开展安全技术服务工作，应当恪守职业道德，遵循诚实守信的原则，对甲方辖区内的</w:t>
      </w:r>
      <w:r>
        <w:rPr>
          <w:rFonts w:hint="eastAsia" w:ascii="宋体" w:hAnsi="宋体" w:cs="宋体"/>
          <w:color w:val="auto"/>
          <w:kern w:val="0"/>
          <w:sz w:val="24"/>
          <w:szCs w:val="24"/>
          <w:highlight w:val="none"/>
          <w:lang w:val="en-US" w:eastAsia="zh-CN"/>
        </w:rPr>
        <w:t>生产经营单位</w:t>
      </w:r>
      <w:r>
        <w:rPr>
          <w:rFonts w:hint="eastAsia" w:ascii="宋体" w:hAnsi="宋体" w:eastAsia="宋体" w:cs="宋体"/>
          <w:color w:val="auto"/>
          <w:sz w:val="24"/>
          <w:szCs w:val="24"/>
          <w:highlight w:val="none"/>
        </w:rPr>
        <w:t>提供的资料及甲方辖区内的</w:t>
      </w:r>
      <w:r>
        <w:rPr>
          <w:rFonts w:hint="eastAsia" w:ascii="宋体" w:hAnsi="宋体" w:cs="宋体"/>
          <w:color w:val="auto"/>
          <w:kern w:val="0"/>
          <w:sz w:val="24"/>
          <w:szCs w:val="24"/>
          <w:highlight w:val="none"/>
          <w:lang w:val="en-US" w:eastAsia="zh-CN"/>
        </w:rPr>
        <w:t>生产经营单位</w:t>
      </w:r>
      <w:r>
        <w:rPr>
          <w:rFonts w:hint="eastAsia" w:ascii="宋体" w:hAnsi="宋体" w:eastAsia="宋体" w:cs="宋体"/>
          <w:color w:val="auto"/>
          <w:sz w:val="24"/>
          <w:szCs w:val="24"/>
          <w:highlight w:val="none"/>
        </w:rPr>
        <w:t>的生产工艺、过程和技术等予以保密，不得泄露甲方辖区内的</w:t>
      </w:r>
      <w:r>
        <w:rPr>
          <w:rFonts w:hint="eastAsia" w:ascii="宋体" w:hAnsi="宋体" w:cs="宋体"/>
          <w:color w:val="auto"/>
          <w:kern w:val="0"/>
          <w:sz w:val="24"/>
          <w:szCs w:val="24"/>
          <w:highlight w:val="none"/>
          <w:lang w:val="en-US" w:eastAsia="zh-CN"/>
        </w:rPr>
        <w:t>生产经营单位</w:t>
      </w:r>
      <w:r>
        <w:rPr>
          <w:rFonts w:hint="eastAsia" w:ascii="宋体" w:hAnsi="宋体" w:eastAsia="宋体" w:cs="宋体"/>
          <w:color w:val="auto"/>
          <w:sz w:val="24"/>
          <w:szCs w:val="24"/>
          <w:highlight w:val="none"/>
        </w:rPr>
        <w:t>商业秘密；并对其承担安全技术服务的真实性、客观性、科学性和准确性负责。</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2、受甲方的委托，乙方应当采取有效的技术措施和手段，对其辖区内</w:t>
      </w:r>
      <w:r>
        <w:rPr>
          <w:rFonts w:hint="eastAsia" w:ascii="宋体" w:hAnsi="宋体" w:cs="宋体"/>
          <w:color w:val="auto"/>
          <w:kern w:val="0"/>
          <w:sz w:val="24"/>
          <w:szCs w:val="24"/>
          <w:highlight w:val="none"/>
          <w:lang w:val="en-US" w:eastAsia="zh-CN"/>
        </w:rPr>
        <w:t>生产经营单位</w:t>
      </w:r>
      <w:r>
        <w:rPr>
          <w:rFonts w:hint="eastAsia" w:ascii="宋体" w:hAnsi="宋体" w:eastAsia="宋体" w:cs="宋体"/>
          <w:color w:val="auto"/>
          <w:sz w:val="24"/>
          <w:szCs w:val="24"/>
          <w:highlight w:val="none"/>
        </w:rPr>
        <w:t>的生产作业场所进行安全技术服务工作，并及时有效地发现和指出辖区内的</w:t>
      </w:r>
      <w:r>
        <w:rPr>
          <w:rFonts w:hint="eastAsia" w:ascii="宋体" w:hAnsi="宋体" w:cs="宋体"/>
          <w:color w:val="auto"/>
          <w:kern w:val="0"/>
          <w:sz w:val="24"/>
          <w:szCs w:val="24"/>
          <w:highlight w:val="none"/>
          <w:lang w:val="en-US" w:eastAsia="zh-CN"/>
        </w:rPr>
        <w:t>生产经营单位</w:t>
      </w:r>
      <w:r>
        <w:rPr>
          <w:rFonts w:hint="eastAsia" w:ascii="宋体" w:hAnsi="宋体" w:eastAsia="宋体" w:cs="宋体"/>
          <w:color w:val="auto"/>
          <w:sz w:val="24"/>
          <w:szCs w:val="24"/>
          <w:highlight w:val="none"/>
        </w:rPr>
        <w:t>存在的问题与隐患、对查出的重大事故隐患第一时间通报甲方。</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3、乙方对在提供安全技术服务中发现的问题和隐患应逐一向</w:t>
      </w:r>
      <w:r>
        <w:rPr>
          <w:rFonts w:hint="eastAsia" w:ascii="宋体" w:hAnsi="宋体" w:cs="宋体"/>
          <w:color w:val="auto"/>
          <w:kern w:val="0"/>
          <w:sz w:val="24"/>
          <w:szCs w:val="24"/>
          <w:highlight w:val="none"/>
          <w:lang w:val="en-US" w:eastAsia="zh-CN"/>
        </w:rPr>
        <w:t>生产经营单位</w:t>
      </w:r>
      <w:r>
        <w:rPr>
          <w:rFonts w:hint="eastAsia" w:ascii="宋体" w:hAnsi="宋体" w:eastAsia="宋体" w:cs="宋体"/>
          <w:color w:val="auto"/>
          <w:sz w:val="24"/>
          <w:szCs w:val="24"/>
          <w:highlight w:val="none"/>
        </w:rPr>
        <w:t>交底，并提出整改意见和建议。</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4、每次检查时乙方应委派</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名或以上具有相关资质，不同专业的专家（至少中级职称或以上）</w:t>
      </w:r>
      <w:r>
        <w:rPr>
          <w:rFonts w:hint="eastAsia" w:ascii="宋体" w:hAnsi="宋体" w:eastAsia="宋体" w:cs="宋体"/>
          <w:color w:val="auto"/>
          <w:sz w:val="24"/>
          <w:szCs w:val="24"/>
          <w:highlight w:val="none"/>
          <w:lang w:val="en-US" w:eastAsia="zh-CN"/>
        </w:rPr>
        <w:t>参与</w:t>
      </w:r>
      <w:r>
        <w:rPr>
          <w:rFonts w:hint="eastAsia" w:ascii="宋体" w:hAnsi="宋体" w:eastAsia="宋体" w:cs="宋体"/>
          <w:color w:val="auto"/>
          <w:sz w:val="24"/>
          <w:szCs w:val="24"/>
          <w:highlight w:val="none"/>
        </w:rPr>
        <w:t>检查。每次所派人员名单必须预先告知甲方。</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应对其派驻本项目的人员办理意外险等，若发生安全事故造成人员伤害的，均由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承担所有责任与损失。</w:t>
      </w:r>
    </w:p>
    <w:p>
      <w:pPr>
        <w:spacing w:line="480" w:lineRule="exact"/>
        <w:ind w:firstLine="480" w:firstLineChars="200"/>
        <w:rPr>
          <w:rFonts w:hint="eastAsia" w:asci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不得在</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辖区范围内</w:t>
      </w:r>
      <w:r>
        <w:rPr>
          <w:rFonts w:hint="eastAsia" w:ascii="宋体" w:hAnsi="宋体" w:cs="宋体"/>
          <w:color w:val="auto"/>
          <w:sz w:val="24"/>
          <w:szCs w:val="24"/>
          <w:highlight w:val="none"/>
          <w:lang w:val="en-US" w:eastAsia="zh-CN"/>
        </w:rPr>
        <w:t>以</w:t>
      </w:r>
      <w:r>
        <w:rPr>
          <w:rFonts w:hint="eastAsia" w:ascii="宋体" w:hAnsi="宋体" w:eastAsia="宋体" w:cs="宋体"/>
          <w:color w:val="auto"/>
          <w:sz w:val="24"/>
          <w:szCs w:val="24"/>
          <w:highlight w:val="none"/>
        </w:rPr>
        <w:t>行政检查的名义开展服务；不得借服务为名，向被服务单位收取财物或其他好处；不得有偿承接服务单位整改等项目，不得向被服务单位收取任何费用，不得利诱贿赂安全监管人员</w:t>
      </w:r>
      <w:r>
        <w:rPr>
          <w:rFonts w:hint="eastAsia" w:ascii="宋体" w:hAnsi="宋体" w:cs="宋体"/>
          <w:color w:val="auto"/>
          <w:sz w:val="24"/>
          <w:szCs w:val="24"/>
          <w:highlight w:val="none"/>
          <w:lang w:eastAsia="zh-CN"/>
        </w:rPr>
        <w:t>。</w:t>
      </w:r>
      <w:r>
        <w:rPr>
          <w:rFonts w:hint="eastAsia" w:ascii="宋体" w:eastAsia="宋体" w:cs="宋体"/>
          <w:color w:val="auto"/>
          <w:kern w:val="0"/>
          <w:sz w:val="24"/>
          <w:szCs w:val="24"/>
          <w:highlight w:val="none"/>
          <w:lang w:val="en-US" w:eastAsia="zh-CN"/>
        </w:rPr>
        <w:t>一经发现，</w:t>
      </w:r>
      <w:r>
        <w:rPr>
          <w:rFonts w:hint="eastAsia" w:ascii="宋体" w:cs="宋体"/>
          <w:color w:val="auto"/>
          <w:kern w:val="0"/>
          <w:sz w:val="24"/>
          <w:szCs w:val="24"/>
          <w:highlight w:val="none"/>
          <w:lang w:val="en-US" w:eastAsia="zh-CN"/>
        </w:rPr>
        <w:t>甲方</w:t>
      </w:r>
      <w:r>
        <w:rPr>
          <w:rFonts w:hint="eastAsia" w:ascii="宋体" w:eastAsia="宋体" w:cs="宋体"/>
          <w:color w:val="auto"/>
          <w:kern w:val="0"/>
          <w:sz w:val="24"/>
          <w:szCs w:val="24"/>
          <w:highlight w:val="none"/>
          <w:lang w:val="en-US" w:eastAsia="zh-CN"/>
        </w:rPr>
        <w:t>有权立即终止合同，没收履约保证金，并要求</w:t>
      </w:r>
      <w:r>
        <w:rPr>
          <w:rFonts w:hint="eastAsia" w:ascii="宋体" w:cs="宋体"/>
          <w:color w:val="auto"/>
          <w:kern w:val="0"/>
          <w:sz w:val="24"/>
          <w:szCs w:val="24"/>
          <w:highlight w:val="none"/>
          <w:lang w:val="en-US" w:eastAsia="zh-CN"/>
        </w:rPr>
        <w:t>乙方</w:t>
      </w:r>
      <w:r>
        <w:rPr>
          <w:rFonts w:hint="eastAsia" w:ascii="宋体" w:eastAsia="宋体" w:cs="宋体"/>
          <w:color w:val="auto"/>
          <w:kern w:val="0"/>
          <w:sz w:val="24"/>
          <w:szCs w:val="24"/>
          <w:highlight w:val="none"/>
          <w:lang w:val="en-US" w:eastAsia="zh-CN"/>
        </w:rPr>
        <w:t>承担一切责任及损失。</w:t>
      </w:r>
    </w:p>
    <w:p>
      <w:pPr>
        <w:spacing w:line="480" w:lineRule="exact"/>
        <w:ind w:firstLine="480" w:firstLineChars="200"/>
        <w:rPr>
          <w:rFonts w:hint="eastAsia" w:eastAsia="宋体"/>
          <w:color w:val="auto"/>
          <w:highlight w:val="none"/>
          <w:lang w:val="en-US" w:eastAsia="zh-CN"/>
        </w:rPr>
      </w:pPr>
      <w:r>
        <w:rPr>
          <w:rFonts w:hint="eastAsia" w:ascii="宋体" w:cs="宋体"/>
          <w:color w:val="auto"/>
          <w:kern w:val="0"/>
          <w:sz w:val="24"/>
          <w:szCs w:val="24"/>
          <w:highlight w:val="none"/>
          <w:lang w:val="en-US" w:eastAsia="zh-CN"/>
        </w:rPr>
        <w:t>7、</w:t>
      </w:r>
      <w:r>
        <w:rPr>
          <w:rFonts w:hint="eastAsia" w:ascii="宋体" w:eastAsia="宋体" w:cs="宋体"/>
          <w:color w:val="auto"/>
          <w:kern w:val="0"/>
          <w:sz w:val="24"/>
          <w:szCs w:val="24"/>
          <w:highlight w:val="none"/>
          <w:lang w:val="en-US" w:eastAsia="zh-CN"/>
        </w:rPr>
        <w:t>签订合同后，</w:t>
      </w:r>
      <w:r>
        <w:rPr>
          <w:rFonts w:hint="eastAsia" w:ascii="宋体" w:hAnsi="宋体" w:cs="宋体"/>
          <w:color w:val="auto"/>
          <w:sz w:val="24"/>
          <w:szCs w:val="24"/>
          <w:highlight w:val="none"/>
          <w:lang w:val="en-US" w:eastAsia="zh-CN"/>
        </w:rPr>
        <w:t>乙方</w:t>
      </w:r>
      <w:r>
        <w:rPr>
          <w:rFonts w:hint="eastAsia" w:ascii="宋体" w:eastAsia="宋体" w:cs="宋体"/>
          <w:color w:val="auto"/>
          <w:kern w:val="0"/>
          <w:sz w:val="24"/>
          <w:szCs w:val="24"/>
          <w:highlight w:val="none"/>
          <w:lang w:val="en-US" w:eastAsia="zh-CN"/>
        </w:rPr>
        <w:t>不得将合同标的进行转包。未经</w:t>
      </w:r>
      <w:r>
        <w:rPr>
          <w:rFonts w:hint="eastAsia" w:ascii="宋体" w:cs="宋体"/>
          <w:color w:val="auto"/>
          <w:kern w:val="0"/>
          <w:sz w:val="24"/>
          <w:szCs w:val="24"/>
          <w:highlight w:val="none"/>
          <w:lang w:val="en-US" w:eastAsia="zh-CN"/>
        </w:rPr>
        <w:t>甲方</w:t>
      </w:r>
      <w:r>
        <w:rPr>
          <w:rFonts w:hint="eastAsia" w:ascii="宋体" w:eastAsia="宋体" w:cs="宋体"/>
          <w:color w:val="auto"/>
          <w:kern w:val="0"/>
          <w:sz w:val="24"/>
          <w:szCs w:val="24"/>
          <w:highlight w:val="none"/>
          <w:lang w:val="en-US" w:eastAsia="zh-CN"/>
        </w:rPr>
        <w:t>同意，</w:t>
      </w:r>
      <w:r>
        <w:rPr>
          <w:rFonts w:hint="eastAsia" w:ascii="宋体" w:cs="宋体"/>
          <w:color w:val="auto"/>
          <w:kern w:val="0"/>
          <w:sz w:val="24"/>
          <w:szCs w:val="24"/>
          <w:highlight w:val="none"/>
          <w:lang w:val="en-US" w:eastAsia="zh-CN"/>
        </w:rPr>
        <w:t>乙方</w:t>
      </w:r>
      <w:r>
        <w:rPr>
          <w:rFonts w:hint="eastAsia" w:ascii="宋体" w:eastAsia="宋体" w:cs="宋体"/>
          <w:color w:val="auto"/>
          <w:kern w:val="0"/>
          <w:sz w:val="24"/>
          <w:szCs w:val="24"/>
          <w:highlight w:val="none"/>
          <w:lang w:val="en-US" w:eastAsia="zh-CN"/>
        </w:rPr>
        <w:t>也不得采用分包形式履行合同，否则</w:t>
      </w:r>
      <w:r>
        <w:rPr>
          <w:rFonts w:hint="eastAsia" w:ascii="宋体" w:cs="宋体"/>
          <w:color w:val="auto"/>
          <w:kern w:val="0"/>
          <w:sz w:val="24"/>
          <w:szCs w:val="24"/>
          <w:highlight w:val="none"/>
          <w:lang w:val="en-US" w:eastAsia="zh-CN"/>
        </w:rPr>
        <w:t>甲方</w:t>
      </w:r>
      <w:r>
        <w:rPr>
          <w:rFonts w:hint="eastAsia" w:ascii="宋体" w:eastAsia="宋体" w:cs="宋体"/>
          <w:color w:val="auto"/>
          <w:kern w:val="0"/>
          <w:sz w:val="24"/>
          <w:szCs w:val="24"/>
          <w:highlight w:val="none"/>
          <w:lang w:val="en-US" w:eastAsia="zh-CN"/>
        </w:rPr>
        <w:t>有权终止合同。转包或分包造成</w:t>
      </w:r>
      <w:r>
        <w:rPr>
          <w:rFonts w:hint="eastAsia" w:ascii="宋体" w:cs="宋体"/>
          <w:color w:val="auto"/>
          <w:kern w:val="0"/>
          <w:sz w:val="24"/>
          <w:szCs w:val="24"/>
          <w:highlight w:val="none"/>
          <w:lang w:val="en-US" w:eastAsia="zh-CN"/>
        </w:rPr>
        <w:t>甲方</w:t>
      </w:r>
      <w:r>
        <w:rPr>
          <w:rFonts w:hint="eastAsia" w:ascii="宋体" w:eastAsia="宋体" w:cs="宋体"/>
          <w:color w:val="auto"/>
          <w:kern w:val="0"/>
          <w:sz w:val="24"/>
          <w:szCs w:val="24"/>
          <w:highlight w:val="none"/>
          <w:lang w:val="en-US" w:eastAsia="zh-CN"/>
        </w:rPr>
        <w:t>损失的，</w:t>
      </w:r>
      <w:r>
        <w:rPr>
          <w:rFonts w:hint="eastAsia" w:ascii="宋体" w:cs="宋体"/>
          <w:color w:val="auto"/>
          <w:kern w:val="0"/>
          <w:sz w:val="24"/>
          <w:szCs w:val="24"/>
          <w:highlight w:val="none"/>
          <w:lang w:val="en-US" w:eastAsia="zh-CN"/>
        </w:rPr>
        <w:t>乙方</w:t>
      </w:r>
      <w:r>
        <w:rPr>
          <w:rFonts w:hint="eastAsia" w:ascii="宋体" w:eastAsia="宋体" w:cs="宋体"/>
          <w:color w:val="auto"/>
          <w:kern w:val="0"/>
          <w:sz w:val="24"/>
          <w:szCs w:val="24"/>
          <w:highlight w:val="none"/>
          <w:lang w:val="en-US" w:eastAsia="zh-CN"/>
        </w:rPr>
        <w:t>应承担相应赔偿责任。</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第六条  甲方对乙方的考核 </w:t>
      </w:r>
    </w:p>
    <w:p>
      <w:pPr>
        <w:keepNext w:val="0"/>
        <w:keepLines w:val="0"/>
        <w:pageBreakBefore w:val="0"/>
        <w:widowControl/>
        <w:shd w:val="clear" w:color="auto" w:fill="auto"/>
        <w:kinsoku/>
        <w:wordWrap/>
        <w:overflowPunct/>
        <w:topLinePunct w:val="0"/>
        <w:autoSpaceDE/>
        <w:autoSpaceDN/>
        <w:bidi w:val="0"/>
        <w:adjustRightInd/>
        <w:snapToGrid/>
        <w:spacing w:after="0" w:line="480" w:lineRule="exact"/>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1、人员配备：</w:t>
      </w:r>
    </w:p>
    <w:p>
      <w:pPr>
        <w:keepNext w:val="0"/>
        <w:keepLines w:val="0"/>
        <w:pageBreakBefore w:val="0"/>
        <w:widowControl/>
        <w:shd w:val="clear" w:color="auto" w:fill="auto"/>
        <w:kinsoku/>
        <w:wordWrap/>
        <w:overflowPunct/>
        <w:topLinePunct w:val="0"/>
        <w:autoSpaceDE/>
        <w:autoSpaceDN/>
        <w:bidi w:val="0"/>
        <w:adjustRightInd/>
        <w:snapToGrid/>
        <w:spacing w:after="0" w:line="480" w:lineRule="exact"/>
        <w:ind w:firstLine="56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（1）人员要求：身体健康，适合进行室内外技术指导服务。</w:t>
      </w:r>
    </w:p>
    <w:p>
      <w:pPr>
        <w:keepNext w:val="0"/>
        <w:keepLines w:val="0"/>
        <w:pageBreakBefore w:val="0"/>
        <w:widowControl/>
        <w:shd w:val="clear" w:color="auto" w:fill="auto"/>
        <w:kinsoku/>
        <w:wordWrap/>
        <w:overflowPunct/>
        <w:topLinePunct w:val="0"/>
        <w:autoSpaceDE/>
        <w:autoSpaceDN/>
        <w:bidi w:val="0"/>
        <w:adjustRightInd/>
        <w:snapToGrid/>
        <w:spacing w:after="0" w:line="480" w:lineRule="exact"/>
        <w:ind w:firstLine="56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人数要求：安排不少于2名安全技术服务人员，具备条件：①注册安全工程师证书（至少含化工类、建筑类）、注册消防工程师。②中级以上职称（必须含1-2名高级职称成员）。须备用乘用车，检查组人员、车辆安全责任以及车辆、食宿费用均由</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承担。</w:t>
      </w:r>
    </w:p>
    <w:p>
      <w:pPr>
        <w:keepNext w:val="0"/>
        <w:keepLines w:val="0"/>
        <w:pageBreakBefore w:val="0"/>
        <w:kinsoku/>
        <w:wordWrap/>
        <w:overflowPunct/>
        <w:topLinePunct w:val="0"/>
        <w:autoSpaceDE/>
        <w:autoSpaceDN/>
        <w:bidi w:val="0"/>
        <w:adjustRightInd/>
        <w:spacing w:after="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2、台账资料：形成安全技术服务台账记录，“一项目一档”，“一企一档”。</w:t>
      </w:r>
    </w:p>
    <w:p>
      <w:pPr>
        <w:keepNext w:val="0"/>
        <w:keepLines w:val="0"/>
        <w:pageBreakBefore w:val="0"/>
        <w:kinsoku/>
        <w:wordWrap/>
        <w:overflowPunct/>
        <w:topLinePunct w:val="0"/>
        <w:autoSpaceDE/>
        <w:autoSpaceDN/>
        <w:bidi w:val="0"/>
        <w:adjustRightInd/>
        <w:spacing w:after="0" w:line="480" w:lineRule="exact"/>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3、成果质量：工作成果提交具有及时性及针对性。</w:t>
      </w:r>
    </w:p>
    <w:p>
      <w:pPr>
        <w:spacing w:line="48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4、建议报告：对检查发现的突出问题与共性问题，提出专业的、合理化建议</w:t>
      </w:r>
    </w:p>
    <w:p>
      <w:pPr>
        <w:spacing w:line="480" w:lineRule="exact"/>
        <w:ind w:firstLine="570"/>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5、服务质量：由甲方以及被服务单位（企业）对乙方的安全技术服务质量进行等次评价</w:t>
      </w:r>
      <w:r>
        <w:rPr>
          <w:rFonts w:hint="eastAsia" w:ascii="宋体" w:hAnsi="宋体" w:cs="宋体"/>
          <w:bCs w:val="0"/>
          <w:color w:val="auto"/>
          <w:sz w:val="24"/>
          <w:szCs w:val="24"/>
          <w:highlight w:val="none"/>
          <w:lang w:val="en-US" w:eastAsia="zh-CN"/>
        </w:rPr>
        <w:t>（评价等次为满意、较满意、合格、不合格）。</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 本协议书与下列文件一起构成合同文件：</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（1）合同书 ；（2）</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通知书；（3）发包人要求；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4）谈判文件及乙方的响应文件；</w:t>
      </w:r>
      <w:r>
        <w:rPr>
          <w:rFonts w:hint="eastAsia" w:ascii="宋体" w:hAnsi="宋体" w:eastAsia="宋体" w:cs="宋体"/>
          <w:color w:val="auto"/>
          <w:sz w:val="24"/>
          <w:szCs w:val="24"/>
          <w:highlight w:val="none"/>
        </w:rPr>
        <w:t>（5）其他合同文件。</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第八条 </w:t>
      </w:r>
      <w:r>
        <w:rPr>
          <w:rFonts w:hint="eastAsia" w:ascii="宋体" w:hAnsi="宋体" w:eastAsia="宋体" w:cs="宋体"/>
          <w:color w:val="auto"/>
          <w:sz w:val="24"/>
          <w:szCs w:val="24"/>
          <w:highlight w:val="none"/>
        </w:rPr>
        <w:t>本合同的变更必须由双方协商一致，并以书面形式确定。但有下列情形之一的，乙方可以向另一方提出变更合同权利与义务的请求，另一方应对在15日内予以答复；逾期未予答复的，视为同意。</w:t>
      </w:r>
    </w:p>
    <w:p>
      <w:pPr>
        <w:keepNext w:val="0"/>
        <w:keepLines w:val="0"/>
        <w:pageBreakBefore w:val="0"/>
        <w:kinsoku/>
        <w:wordWrap/>
        <w:overflowPunct/>
        <w:topLinePunct w:val="0"/>
        <w:autoSpaceDE/>
        <w:autoSpaceDN/>
        <w:bidi w:val="0"/>
        <w:adjustRightInd/>
        <w:spacing w:after="0" w:line="480" w:lineRule="exact"/>
        <w:ind w:firstLine="6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1.发生不可抗力事件。</w:t>
      </w:r>
    </w:p>
    <w:p>
      <w:pPr>
        <w:keepNext w:val="0"/>
        <w:keepLines w:val="0"/>
        <w:pageBreakBefore w:val="0"/>
        <w:kinsoku/>
        <w:wordWrap/>
        <w:overflowPunct/>
        <w:topLinePunct w:val="0"/>
        <w:autoSpaceDE/>
        <w:autoSpaceDN/>
        <w:bidi w:val="0"/>
        <w:adjustRightInd/>
        <w:spacing w:after="0" w:line="480" w:lineRule="exact"/>
        <w:ind w:firstLine="6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2.其他经双方协商同意可以变更合同的情况。</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 双方确定出现下列情形，致使本合同的履行成为不必要或不可能的，可以解除本合同：</w:t>
      </w:r>
    </w:p>
    <w:p>
      <w:pPr>
        <w:keepNext w:val="0"/>
        <w:keepLines w:val="0"/>
        <w:pageBreakBefore w:val="0"/>
        <w:kinsoku/>
        <w:wordWrap/>
        <w:overflowPunct/>
        <w:topLinePunct w:val="0"/>
        <w:autoSpaceDE/>
        <w:autoSpaceDN/>
        <w:bidi w:val="0"/>
        <w:adjustRightInd/>
        <w:spacing w:after="0" w:line="480" w:lineRule="exact"/>
        <w:ind w:firstLine="6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1.发生不可抗力；</w:t>
      </w:r>
    </w:p>
    <w:p>
      <w:pPr>
        <w:keepNext w:val="0"/>
        <w:keepLines w:val="0"/>
        <w:pageBreakBefore w:val="0"/>
        <w:kinsoku/>
        <w:wordWrap/>
        <w:overflowPunct/>
        <w:topLinePunct w:val="0"/>
        <w:autoSpaceDE/>
        <w:autoSpaceDN/>
        <w:bidi w:val="0"/>
        <w:adjustRightInd/>
        <w:spacing w:after="0" w:line="480" w:lineRule="exact"/>
        <w:ind w:firstLine="6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2.因一方不履行本合同的规定，另一方有权解除合同，并保留索赔权；</w:t>
      </w:r>
    </w:p>
    <w:p>
      <w:pPr>
        <w:keepNext w:val="0"/>
        <w:keepLines w:val="0"/>
        <w:pageBreakBefore w:val="0"/>
        <w:kinsoku/>
        <w:wordWrap/>
        <w:overflowPunct/>
        <w:topLinePunct w:val="0"/>
        <w:autoSpaceDE/>
        <w:autoSpaceDN/>
        <w:bidi w:val="0"/>
        <w:adjustRightInd/>
        <w:spacing w:after="0" w:line="480" w:lineRule="exact"/>
        <w:ind w:firstLine="6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3.甲乙双方任何一方由于不可抗力的原因不能履行合同时，应及时向对方通报不能履行或不能完全履行的理由，在取得有关机关证明以后，根据具体情况可全部或部分免于承担违约责任。</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第十条 双方因履行本合同而发生的争议，应协商、调解解决，并及时签订补充协议，补充协议经双方签字生效后，与本合同具有同等效力。</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第十一条 双方约定本合同其他有关事项为：</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合同未尽事宜，合同当事人另行签订补充协议，补充协议是合同的组成部分。有关协议及双方认可的来往电报、传真、会议纪要等，均为本合同组成部分，与本合同具有同等法律效力。</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第十二条 争议处理</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本合同在履行过程中发生的争议，由双方当事人协商解决</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协商</w:t>
      </w:r>
      <w:r>
        <w:rPr>
          <w:rFonts w:hint="eastAsia" w:ascii="宋体" w:hAnsi="宋体" w:eastAsia="宋体" w:cs="宋体"/>
          <w:color w:val="auto"/>
          <w:sz w:val="24"/>
          <w:szCs w:val="24"/>
          <w:highlight w:val="none"/>
        </w:rPr>
        <w:t>不成的，可依法向</w:t>
      </w:r>
      <w:r>
        <w:rPr>
          <w:rFonts w:hint="eastAsia" w:ascii="宋体" w:hAnsi="宋体" w:eastAsia="宋体" w:cs="宋体"/>
          <w:color w:val="auto"/>
          <w:sz w:val="24"/>
          <w:szCs w:val="24"/>
          <w:highlight w:val="none"/>
          <w:u w:val="single"/>
          <w:lang w:val="en-US" w:eastAsia="zh-CN"/>
        </w:rPr>
        <w:t>启东</w:t>
      </w:r>
      <w:r>
        <w:rPr>
          <w:rFonts w:hint="eastAsia" w:ascii="宋体" w:hAnsi="宋体" w:eastAsia="宋体" w:cs="宋体"/>
          <w:color w:val="auto"/>
          <w:sz w:val="24"/>
          <w:szCs w:val="24"/>
          <w:highlight w:val="none"/>
          <w:u w:val="single"/>
        </w:rPr>
        <w:t>市人民法院</w:t>
      </w:r>
      <w:r>
        <w:rPr>
          <w:rFonts w:hint="eastAsia" w:ascii="宋体" w:hAnsi="宋体" w:eastAsia="宋体" w:cs="宋体"/>
          <w:color w:val="auto"/>
          <w:sz w:val="24"/>
          <w:szCs w:val="24"/>
          <w:highlight w:val="none"/>
        </w:rPr>
        <w:t>起诉，在此期间本合同应继续履行。</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第十三条 </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合同生效及其他</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1.本合同自签订日起生效。</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2.本合同应按照中华人民共和国的现行法律进行解释。</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3.本合同一式</w:t>
      </w:r>
      <w:r>
        <w:rPr>
          <w:rFonts w:hint="eastAsia" w:ascii="宋体" w:hAnsi="宋体" w:eastAsia="宋体" w:cs="宋体"/>
          <w:b w:val="0"/>
          <w:bCs/>
          <w:color w:val="auto"/>
          <w:sz w:val="24"/>
          <w:szCs w:val="24"/>
          <w:highlight w:val="none"/>
          <w:u w:val="single"/>
        </w:rPr>
        <w:t>肆</w:t>
      </w:r>
      <w:r>
        <w:rPr>
          <w:rFonts w:hint="eastAsia" w:ascii="宋体" w:hAnsi="宋体" w:eastAsia="宋体" w:cs="宋体"/>
          <w:b w:val="0"/>
          <w:bCs/>
          <w:color w:val="auto"/>
          <w:sz w:val="24"/>
          <w:szCs w:val="24"/>
          <w:highlight w:val="none"/>
        </w:rPr>
        <w:t>份，甲</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乙双方各执</w:t>
      </w:r>
      <w:r>
        <w:rPr>
          <w:rFonts w:hint="eastAsia" w:ascii="宋体" w:hAnsi="宋体" w:eastAsia="宋体" w:cs="宋体"/>
          <w:b w:val="0"/>
          <w:bCs/>
          <w:color w:val="auto"/>
          <w:sz w:val="24"/>
          <w:szCs w:val="24"/>
          <w:highlight w:val="none"/>
          <w:u w:val="single"/>
          <w:lang w:val="en-US" w:eastAsia="zh-CN"/>
        </w:rPr>
        <w:t>贰</w:t>
      </w:r>
      <w:r>
        <w:rPr>
          <w:rFonts w:hint="eastAsia" w:ascii="宋体" w:hAnsi="宋体" w:eastAsia="宋体" w:cs="宋体"/>
          <w:b w:val="0"/>
          <w:bCs/>
          <w:color w:val="auto"/>
          <w:sz w:val="24"/>
          <w:szCs w:val="24"/>
          <w:highlight w:val="none"/>
        </w:rPr>
        <w:t>份。</w:t>
      </w:r>
    </w:p>
    <w:p>
      <w:pPr>
        <w:keepNext w:val="0"/>
        <w:keepLines w:val="0"/>
        <w:pageBreakBefore w:val="0"/>
        <w:kinsoku/>
        <w:wordWrap/>
        <w:overflowPunct/>
        <w:topLinePunct w:val="0"/>
        <w:autoSpaceDE/>
        <w:autoSpaceDN/>
        <w:bidi w:val="0"/>
        <w:adjustRightInd/>
        <w:spacing w:after="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keepNext w:val="0"/>
        <w:keepLines w:val="0"/>
        <w:pageBreakBefore w:val="0"/>
        <w:kinsoku/>
        <w:wordWrap/>
        <w:overflowPunct/>
        <w:topLinePunct w:val="0"/>
        <w:autoSpaceDE/>
        <w:autoSpaceDN/>
        <w:bidi w:val="0"/>
        <w:adjustRightInd/>
        <w:snapToGrid w:val="0"/>
        <w:spacing w:after="0" w:line="480" w:lineRule="exact"/>
        <w:ind w:left="6120" w:hanging="6120" w:hangingChars="2550"/>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val="0"/>
        <w:spacing w:after="0" w:line="480" w:lineRule="exact"/>
        <w:ind w:left="6120" w:hanging="6120" w:hangingChars="25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甲方名称：</w:t>
      </w:r>
      <w:r>
        <w:rPr>
          <w:rFonts w:hint="eastAsia" w:ascii="宋体" w:hAnsi="宋体" w:eastAsia="宋体" w:cs="宋体"/>
          <w:color w:val="auto"/>
          <w:sz w:val="24"/>
          <w:szCs w:val="24"/>
          <w:highlight w:val="none"/>
          <w:lang w:eastAsia="zh-CN"/>
        </w:rPr>
        <w:t>启东市汇龙镇人民政府</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乙方名称：</w:t>
      </w:r>
    </w:p>
    <w:p>
      <w:pPr>
        <w:keepNext w:val="0"/>
        <w:keepLines w:val="0"/>
        <w:pageBreakBefore w:val="0"/>
        <w:kinsoku/>
        <w:wordWrap/>
        <w:overflowPunct/>
        <w:topLinePunct w:val="0"/>
        <w:autoSpaceDE/>
        <w:autoSpaceDN/>
        <w:bidi w:val="0"/>
        <w:adjustRightInd/>
        <w:snapToGrid w:val="0"/>
        <w:spacing w:after="0" w:line="480" w:lineRule="exact"/>
        <w:ind w:firstLine="1320" w:firstLineChars="55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（盖章）</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pPr>
        <w:keepNext w:val="0"/>
        <w:keepLines w:val="0"/>
        <w:pageBreakBefore w:val="0"/>
        <w:kinsoku/>
        <w:wordWrap/>
        <w:overflowPunct/>
        <w:topLinePunct w:val="0"/>
        <w:autoSpaceDE/>
        <w:autoSpaceDN/>
        <w:bidi w:val="0"/>
        <w:adjustRightInd/>
        <w:snapToGrid w:val="0"/>
        <w:spacing w:after="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p>
    <w:p>
      <w:pPr>
        <w:keepNext w:val="0"/>
        <w:keepLines w:val="0"/>
        <w:pageBreakBefore w:val="0"/>
        <w:kinsoku/>
        <w:wordWrap/>
        <w:overflowPunct/>
        <w:topLinePunct w:val="0"/>
        <w:autoSpaceDE/>
        <w:autoSpaceDN/>
        <w:bidi w:val="0"/>
        <w:adjustRightInd/>
        <w:snapToGrid w:val="0"/>
        <w:spacing w:after="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 xml:space="preserve">委托代理人：（签字）　　　　         </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委托代理人：（签字）</w:t>
      </w:r>
    </w:p>
    <w:p>
      <w:pPr>
        <w:keepNext w:val="0"/>
        <w:keepLines w:val="0"/>
        <w:pageBreakBefore w:val="0"/>
        <w:kinsoku/>
        <w:wordWrap/>
        <w:overflowPunct/>
        <w:topLinePunct w:val="0"/>
        <w:autoSpaceDE/>
        <w:autoSpaceDN/>
        <w:bidi w:val="0"/>
        <w:adjustRightInd/>
        <w:snapToGrid w:val="0"/>
        <w:spacing w:after="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开户银行： </w:t>
      </w:r>
    </w:p>
    <w:p>
      <w:pPr>
        <w:keepNext w:val="0"/>
        <w:keepLines w:val="0"/>
        <w:pageBreakBefore w:val="0"/>
        <w:kinsoku/>
        <w:wordWrap/>
        <w:overflowPunct/>
        <w:topLinePunct w:val="0"/>
        <w:autoSpaceDE/>
        <w:autoSpaceDN/>
        <w:bidi w:val="0"/>
        <w:adjustRightInd/>
        <w:snapToGrid w:val="0"/>
        <w:spacing w:after="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银行帐号：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银行帐号：</w:t>
      </w:r>
    </w:p>
    <w:p>
      <w:pPr>
        <w:keepNext w:val="0"/>
        <w:keepLines w:val="0"/>
        <w:pageBreakBefore w:val="0"/>
        <w:kinsoku/>
        <w:wordWrap/>
        <w:overflowPunct/>
        <w:topLinePunct w:val="0"/>
        <w:autoSpaceDE/>
        <w:autoSpaceDN/>
        <w:bidi w:val="0"/>
        <w:adjustRightInd/>
        <w:snapToGrid w:val="0"/>
        <w:spacing w:after="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合同签订地点： </w:t>
      </w:r>
    </w:p>
    <w:p>
      <w:pPr>
        <w:keepNext w:val="0"/>
        <w:keepLines w:val="0"/>
        <w:pageBreakBefore w:val="0"/>
        <w:kinsoku/>
        <w:wordWrap/>
        <w:overflowPunct/>
        <w:topLinePunct w:val="0"/>
        <w:autoSpaceDE/>
        <w:autoSpaceDN/>
        <w:bidi w:val="0"/>
        <w:adjustRightInd/>
        <w:snapToGrid w:val="0"/>
        <w:spacing w:after="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合同签订日期：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月   日</w:t>
      </w:r>
    </w:p>
    <w:p>
      <w:pPr>
        <w:spacing w:line="480" w:lineRule="exact"/>
        <w:jc w:val="center"/>
        <w:rPr>
          <w:rFonts w:hint="eastAsia" w:ascii="宋体" w:hAnsi="宋体" w:eastAsia="宋体" w:cs="宋体"/>
          <w:color w:val="auto"/>
          <w:sz w:val="24"/>
          <w:szCs w:val="24"/>
          <w:highlight w:val="none"/>
        </w:rPr>
      </w:pPr>
    </w:p>
    <w:p>
      <w:pPr>
        <w:spacing w:line="240" w:lineRule="auto"/>
        <w:ind w:firstLine="0" w:firstLineChars="0"/>
        <w:jc w:val="left"/>
        <w:rPr>
          <w:rFonts w:hint="eastAsia" w:ascii="宋体" w:hAnsi="宋体" w:eastAsia="宋体" w:cs="宋体"/>
          <w:b/>
          <w:bCs/>
          <w:color w:val="auto"/>
          <w:w w:val="80"/>
          <w:kern w:val="44"/>
          <w:sz w:val="36"/>
          <w:szCs w:val="36"/>
        </w:rPr>
      </w:pPr>
      <w:r>
        <w:rPr>
          <w:rFonts w:hint="eastAsia" w:ascii="宋体" w:hAnsi="宋体" w:eastAsia="宋体" w:cs="宋体"/>
          <w:b/>
          <w:bCs/>
          <w:color w:val="auto"/>
          <w:w w:val="80"/>
          <w:kern w:val="44"/>
          <w:sz w:val="36"/>
          <w:szCs w:val="36"/>
        </w:rPr>
        <w:br w:type="page"/>
      </w:r>
    </w:p>
    <w:p>
      <w:pPr>
        <w:spacing w:line="480" w:lineRule="exact"/>
        <w:ind w:firstLine="577" w:firstLineChars="200"/>
        <w:jc w:val="center"/>
        <w:rPr>
          <w:rFonts w:hint="eastAsia" w:ascii="宋体" w:hAnsi="宋体" w:eastAsia="宋体" w:cs="宋体"/>
          <w:b/>
          <w:bCs/>
          <w:color w:val="auto"/>
          <w:w w:val="80"/>
          <w:kern w:val="44"/>
          <w:sz w:val="24"/>
          <w:szCs w:val="24"/>
        </w:rPr>
      </w:pPr>
      <w:r>
        <w:rPr>
          <w:rFonts w:hint="eastAsia" w:ascii="宋体" w:hAnsi="宋体" w:eastAsia="宋体" w:cs="宋体"/>
          <w:b/>
          <w:bCs/>
          <w:color w:val="auto"/>
          <w:w w:val="80"/>
          <w:kern w:val="44"/>
          <w:sz w:val="36"/>
          <w:szCs w:val="36"/>
        </w:rPr>
        <w:t>第六章质疑提出和处理</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一、质疑的提出</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 xml:space="preserve">(一)质疑人的身份要求 </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1.提出质疑的供应商应当是参与所质疑项目采购活动的供应商。</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2.潜在供应商已依法获取其可质疑的采购文件的，可以对该文件提出质疑。对采购文件提出质疑的，应当在获取采购文件或者采购文件公告期限届满之日起7个工作日内提出。</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 xml:space="preserve"> (二)质疑提出的格式要求   </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1.质疑必须按相关规定提交，质疑实行实名制，不得进行虚假、恶意质疑，未按上述要求提交的质疑函，采购代理机构有权不予受理。</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 xml:space="preserve">2.质疑函应包括：    </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（1）质疑人的名称、地址、邮编、联系人及联系电话；</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（2）具体、明确的质疑事项及明确的请求；</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（3）质疑的事实依据和必要的法律依据；</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（4）提起质疑的日期；</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 xml:space="preserve">（5）认为自己合法权益受到损害或可能受到损害的相关证据材料；                            </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代理机构将不予受理。质疑人委托代理质疑的，应当向采购代理机构提交授权委托书，并载明委托代理的具体权限和事项。</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3.质疑函需遵循的原则：</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（三）质疑提出的时效要求</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 xml:space="preserve">1.供应商认为采购文件、采购过程和采购结果使自己的权益受到损害的，可以在知道或应知其权益受到损害之日起七个工作日内，以书面形式向采购代理机构提出质疑。上述应知其权益受到损害之日，是指：                       </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（1）对可以质疑的采购文件提出质疑的，为收到采购文件之日或者采购文件公告期限届满之日；</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（2）对采购过程提出质疑的，为各采购程序环节结束之日；</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 xml:space="preserve">（3）对成交或者成交结果提出质疑的，为成交或者成交结果公告期限届满之日。                 </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供应商认为采购文件使自己的权益受到损害的，可以按照</w:t>
      </w:r>
      <w:r>
        <w:rPr>
          <w:rFonts w:hint="eastAsia" w:ascii="宋体" w:hAnsi="宋体" w:eastAsia="宋体" w:cs="宋体"/>
          <w:color w:val="auto"/>
          <w:sz w:val="24"/>
          <w:lang w:val="en-US" w:eastAsia="zh-CN"/>
        </w:rPr>
        <w:t>磋商</w:t>
      </w:r>
      <w:r>
        <w:rPr>
          <w:rFonts w:hint="eastAsia" w:ascii="宋体" w:hAnsi="宋体" w:eastAsia="宋体" w:cs="宋体"/>
          <w:color w:val="auto"/>
          <w:sz w:val="24"/>
        </w:rPr>
        <w:t>公告第七项第四点要求向采购人提出质疑；供应商认为采购过程和采购结果使自己的权益受到损害的，可以以书面形式向采购代理机构或采购人提出质疑。</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 xml:space="preserve">2.供应商应在法定质疑期一次性提出针对同一采购程序环节的质疑。                         </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二、《质疑函》的受理和答复</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 xml:space="preserve">1. </w:t>
      </w:r>
      <w:r>
        <w:rPr>
          <w:rFonts w:hint="eastAsia" w:ascii="宋体" w:hAnsi="宋体" w:eastAsia="宋体" w:cs="宋体"/>
          <w:color w:val="auto"/>
          <w:sz w:val="24"/>
          <w:lang w:val="zh-CN"/>
        </w:rPr>
        <w:t>采购代理机构或采购人</w:t>
      </w:r>
      <w:r>
        <w:rPr>
          <w:rFonts w:hint="eastAsia" w:ascii="宋体" w:hAnsi="宋体" w:eastAsia="宋体" w:cs="宋体"/>
          <w:color w:val="auto"/>
          <w:sz w:val="24"/>
        </w:rPr>
        <w:t>收到质疑函后，采购代理机构将对质疑的形式和内容进行审查，如质疑函内容、格式不符合规定，采购代理机构将告知质疑人进行补正。</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 质疑人应当在法定质疑期限内进行补正并重新提交质疑函，拒不补正或者在法定期限内未重新提交质疑函的，为无效质疑，采购代理机构将不予受理。</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3.采购代理机构答复供应商质疑应当采用书面方式并依法送达，质疑供应商或其委托代理人拒绝签收的视为已经送达。</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三、质疑处理</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 质疑成立的处理</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（1）对于内容、格式符合规定的质疑函，</w:t>
      </w:r>
      <w:r>
        <w:rPr>
          <w:rFonts w:hint="eastAsia" w:ascii="宋体" w:hAnsi="宋体" w:eastAsia="宋体" w:cs="宋体"/>
          <w:color w:val="auto"/>
          <w:sz w:val="24"/>
          <w:lang w:val="zh-CN"/>
        </w:rPr>
        <w:t>采购代理机构</w:t>
      </w:r>
      <w:r>
        <w:rPr>
          <w:rFonts w:hint="eastAsia" w:ascii="宋体" w:hAnsi="宋体" w:eastAsia="宋体" w:cs="宋体"/>
          <w:color w:val="auto"/>
          <w:sz w:val="24"/>
        </w:rPr>
        <w:t xml:space="preserve">在收到供应商的书面质疑后七个工作日内作出书面答复，但答复的内容不得涉及商业秘密。                       </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（2）对采购文件提出的质疑，依法通过澄清或者修改可以继续开展采购活动的，澄清或者修改采购文件后继续开展采购活动；否则应当修改采购文件后重新开展采购活动。</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（3）对采购过程、中标或者成交结果提出的质疑，合格供应商符合法定数量时，可以从合格的候选人中另行确定中标、成交供应商的，应当依法另行确定成交供应商；否则应当重新开展采购活动。</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质疑答复导致中标、成交结果改变的，采购代理机构应当将有关情况书面报告监管部门。</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2.质疑不成立的处理</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若质疑不成立，或者成立未对中标、成交结果构成影响的，继续开展采购活动。</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 xml:space="preserve">3.虚假质疑的处理 </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 xml:space="preserve">（1）供应商提出书面质疑必须有理、有据，不得恶意质疑或提交虚假质疑。否则，一经查实，采购人有权依据采购的有关规定，报请采购监管部门对该人进行相应的行政处罚。                          </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（2）在江苏省范围内一年累计三次以上质疑，均查无实据的供应商将按失信行为记入该注册供应商诚信档案中。</w:t>
      </w:r>
    </w:p>
    <w:p>
      <w:pPr>
        <w:pStyle w:val="20"/>
        <w:snapToGrid w:val="0"/>
        <w:spacing w:after="0" w:line="480" w:lineRule="exact"/>
        <w:ind w:left="0" w:leftChars="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（3）采购代理机构或采购人受理质疑和答复相关咨询，联系电话详见</w:t>
      </w:r>
      <w:r>
        <w:rPr>
          <w:rFonts w:hint="eastAsia" w:ascii="宋体" w:hAnsi="宋体" w:eastAsia="宋体" w:cs="宋体"/>
          <w:color w:val="auto"/>
          <w:sz w:val="24"/>
          <w:lang w:val="en-US" w:eastAsia="zh-CN"/>
        </w:rPr>
        <w:t>磋商</w:t>
      </w:r>
      <w:r>
        <w:rPr>
          <w:rFonts w:hint="eastAsia" w:ascii="宋体" w:hAnsi="宋体" w:eastAsia="宋体" w:cs="宋体"/>
          <w:color w:val="auto"/>
          <w:sz w:val="24"/>
        </w:rPr>
        <w:t>公告。</w:t>
      </w:r>
    </w:p>
    <w:p>
      <w:pPr>
        <w:autoSpaceDE w:val="0"/>
        <w:autoSpaceDN w:val="0"/>
        <w:adjustRightInd w:val="0"/>
        <w:snapToGrid w:val="0"/>
        <w:spacing w:line="480" w:lineRule="exact"/>
        <w:ind w:left="4513" w:right="210" w:hanging="4513"/>
        <w:rPr>
          <w:rFonts w:hint="eastAsia" w:ascii="宋体" w:hAnsi="宋体" w:eastAsia="宋体" w:cs="宋体"/>
          <w:b/>
          <w:bCs/>
          <w:color w:val="auto"/>
          <w:sz w:val="24"/>
          <w:szCs w:val="24"/>
          <w:lang w:val="zh-CN"/>
        </w:rPr>
      </w:pPr>
    </w:p>
    <w:p>
      <w:pPr>
        <w:autoSpaceDE w:val="0"/>
        <w:autoSpaceDN w:val="0"/>
        <w:adjustRightInd w:val="0"/>
        <w:snapToGrid w:val="0"/>
        <w:spacing w:line="480" w:lineRule="exact"/>
        <w:ind w:left="4513" w:right="210" w:hanging="4513"/>
        <w:jc w:val="center"/>
        <w:rPr>
          <w:rFonts w:hint="eastAsia" w:ascii="宋体" w:hAnsi="宋体" w:eastAsia="宋体" w:cs="宋体"/>
          <w:b/>
          <w:bCs/>
          <w:color w:val="auto"/>
          <w:sz w:val="24"/>
          <w:szCs w:val="24"/>
          <w:lang w:val="zh-CN"/>
        </w:rPr>
        <w:sectPr>
          <w:footerReference r:id="rId3" w:type="default"/>
          <w:pgSz w:w="11907" w:h="16839"/>
          <w:pgMar w:top="1440" w:right="1588" w:bottom="1440" w:left="1588" w:header="720" w:footer="720" w:gutter="0"/>
          <w:pgNumType w:start="1"/>
          <w:cols w:space="720" w:num="1"/>
          <w:docGrid w:linePitch="286" w:charSpace="0"/>
        </w:sectPr>
      </w:pPr>
    </w:p>
    <w:p>
      <w:pPr>
        <w:snapToGrid w:val="0"/>
        <w:spacing w:line="480" w:lineRule="exact"/>
        <w:outlineLvl w:val="0"/>
        <w:rPr>
          <w:rFonts w:hint="eastAsia" w:ascii="宋体" w:hAnsi="宋体" w:eastAsia="宋体" w:cs="宋体"/>
          <w:color w:val="auto"/>
          <w:sz w:val="24"/>
        </w:rPr>
      </w:pPr>
      <w:r>
        <w:rPr>
          <w:rFonts w:hint="eastAsia" w:ascii="宋体" w:hAnsi="宋体" w:eastAsia="宋体" w:cs="宋体"/>
          <w:color w:val="auto"/>
          <w:sz w:val="24"/>
        </w:rPr>
        <w:t>附件</w:t>
      </w:r>
    </w:p>
    <w:p>
      <w:pPr>
        <w:spacing w:line="480" w:lineRule="exact"/>
        <w:jc w:val="center"/>
        <w:rPr>
          <w:rFonts w:hint="eastAsia" w:ascii="宋体" w:hAnsi="宋体" w:eastAsia="宋体" w:cs="宋体"/>
          <w:bCs/>
          <w:color w:val="auto"/>
          <w:sz w:val="24"/>
        </w:rPr>
      </w:pPr>
      <w:r>
        <w:rPr>
          <w:rFonts w:hint="eastAsia" w:ascii="宋体" w:hAnsi="宋体" w:eastAsia="宋体" w:cs="宋体"/>
          <w:bCs/>
          <w:color w:val="auto"/>
          <w:sz w:val="24"/>
        </w:rPr>
        <w:t>质疑函范本</w:t>
      </w:r>
    </w:p>
    <w:p>
      <w:pPr>
        <w:adjustRightInd w:val="0"/>
        <w:snapToGrid w:val="0"/>
        <w:spacing w:before="240" w:beforeLines="100" w:line="480" w:lineRule="exact"/>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pPr>
        <w:adjustRightInd w:val="0"/>
        <w:snapToGrid w:val="0"/>
        <w:spacing w:line="480" w:lineRule="exact"/>
        <w:rPr>
          <w:rFonts w:hint="eastAsia" w:ascii="宋体" w:hAnsi="宋体" w:eastAsia="宋体" w:cs="宋体"/>
          <w:color w:val="auto"/>
          <w:sz w:val="24"/>
          <w:u w:val="dotted"/>
        </w:rPr>
      </w:pPr>
      <w:r>
        <w:rPr>
          <w:rFonts w:hint="eastAsia" w:ascii="宋体" w:hAnsi="宋体" w:eastAsia="宋体" w:cs="宋体"/>
          <w:color w:val="auto"/>
          <w:sz w:val="24"/>
        </w:rPr>
        <w:t>质疑供应商：</w:t>
      </w:r>
    </w:p>
    <w:p>
      <w:pPr>
        <w:adjustRightInd w:val="0"/>
        <w:snapToGrid w:val="0"/>
        <w:spacing w:line="480" w:lineRule="exact"/>
        <w:rPr>
          <w:rFonts w:hint="eastAsia" w:ascii="宋体" w:hAnsi="宋体" w:eastAsia="宋体" w:cs="宋体"/>
          <w:color w:val="auto"/>
          <w:sz w:val="24"/>
        </w:rPr>
      </w:pPr>
      <w:r>
        <w:rPr>
          <w:rFonts w:hint="eastAsia" w:ascii="宋体" w:hAnsi="宋体" w:eastAsia="宋体" w:cs="宋体"/>
          <w:color w:val="auto"/>
          <w:sz w:val="24"/>
        </w:rPr>
        <w:t>地址：邮编：</w:t>
      </w:r>
    </w:p>
    <w:p>
      <w:pPr>
        <w:adjustRightInd w:val="0"/>
        <w:snapToGrid w:val="0"/>
        <w:spacing w:line="480" w:lineRule="exact"/>
        <w:rPr>
          <w:rFonts w:hint="eastAsia" w:ascii="宋体" w:hAnsi="宋体" w:eastAsia="宋体" w:cs="宋体"/>
          <w:color w:val="auto"/>
          <w:sz w:val="24"/>
        </w:rPr>
      </w:pPr>
      <w:r>
        <w:rPr>
          <w:rFonts w:hint="eastAsia" w:ascii="宋体" w:hAnsi="宋体" w:eastAsia="宋体" w:cs="宋体"/>
          <w:color w:val="auto"/>
          <w:sz w:val="24"/>
        </w:rPr>
        <w:t>联系人：联系电话：</w:t>
      </w:r>
    </w:p>
    <w:p>
      <w:pPr>
        <w:adjustRightInd w:val="0"/>
        <w:snapToGrid w:val="0"/>
        <w:spacing w:line="480" w:lineRule="exact"/>
        <w:rPr>
          <w:rFonts w:hint="eastAsia" w:ascii="宋体" w:hAnsi="宋体" w:eastAsia="宋体" w:cs="宋体"/>
          <w:color w:val="auto"/>
          <w:sz w:val="24"/>
          <w:u w:val="dotted"/>
        </w:rPr>
      </w:pPr>
      <w:r>
        <w:rPr>
          <w:rFonts w:hint="eastAsia" w:ascii="宋体" w:hAnsi="宋体" w:eastAsia="宋体" w:cs="宋体"/>
          <w:color w:val="auto"/>
          <w:sz w:val="24"/>
        </w:rPr>
        <w:t>授权代表：</w:t>
      </w:r>
    </w:p>
    <w:p>
      <w:pPr>
        <w:adjustRightInd w:val="0"/>
        <w:snapToGrid w:val="0"/>
        <w:spacing w:line="480" w:lineRule="exact"/>
        <w:rPr>
          <w:rFonts w:hint="eastAsia" w:ascii="宋体" w:hAnsi="宋体" w:eastAsia="宋体" w:cs="宋体"/>
          <w:color w:val="auto"/>
          <w:sz w:val="24"/>
        </w:rPr>
      </w:pPr>
      <w:r>
        <w:rPr>
          <w:rFonts w:hint="eastAsia" w:ascii="宋体" w:hAnsi="宋体" w:eastAsia="宋体" w:cs="宋体"/>
          <w:color w:val="auto"/>
          <w:sz w:val="24"/>
        </w:rPr>
        <w:t>联系电话：</w:t>
      </w:r>
    </w:p>
    <w:p>
      <w:pPr>
        <w:adjustRightInd w:val="0"/>
        <w:snapToGrid w:val="0"/>
        <w:spacing w:line="480" w:lineRule="exact"/>
        <w:rPr>
          <w:rFonts w:hint="eastAsia" w:ascii="宋体" w:hAnsi="宋体" w:eastAsia="宋体" w:cs="宋体"/>
          <w:color w:val="auto"/>
          <w:sz w:val="24"/>
        </w:rPr>
      </w:pPr>
      <w:r>
        <w:rPr>
          <w:rFonts w:hint="eastAsia" w:ascii="宋体" w:hAnsi="宋体" w:eastAsia="宋体" w:cs="宋体"/>
          <w:color w:val="auto"/>
          <w:sz w:val="24"/>
        </w:rPr>
        <w:t>地址：邮编：</w:t>
      </w:r>
    </w:p>
    <w:p>
      <w:pPr>
        <w:adjustRightInd w:val="0"/>
        <w:snapToGrid w:val="0"/>
        <w:spacing w:line="480" w:lineRule="exact"/>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pPr>
        <w:adjustRightInd w:val="0"/>
        <w:snapToGrid w:val="0"/>
        <w:spacing w:line="480" w:lineRule="exact"/>
        <w:rPr>
          <w:rFonts w:hint="eastAsia" w:ascii="宋体" w:hAnsi="宋体" w:eastAsia="宋体" w:cs="宋体"/>
          <w:color w:val="auto"/>
          <w:sz w:val="24"/>
        </w:rPr>
      </w:pPr>
      <w:r>
        <w:rPr>
          <w:rFonts w:hint="eastAsia" w:ascii="宋体" w:hAnsi="宋体" w:eastAsia="宋体" w:cs="宋体"/>
          <w:color w:val="auto"/>
          <w:sz w:val="24"/>
        </w:rPr>
        <w:t>质疑项目的名称：</w:t>
      </w:r>
    </w:p>
    <w:p>
      <w:pPr>
        <w:adjustRightInd w:val="0"/>
        <w:snapToGrid w:val="0"/>
        <w:spacing w:line="480" w:lineRule="exact"/>
        <w:rPr>
          <w:rFonts w:hint="eastAsia" w:ascii="宋体" w:hAnsi="宋体" w:eastAsia="宋体" w:cs="宋体"/>
          <w:color w:val="auto"/>
          <w:sz w:val="24"/>
        </w:rPr>
      </w:pPr>
      <w:r>
        <w:rPr>
          <w:rFonts w:hint="eastAsia" w:ascii="宋体" w:hAnsi="宋体" w:eastAsia="宋体" w:cs="宋体"/>
          <w:color w:val="auto"/>
          <w:sz w:val="24"/>
        </w:rPr>
        <w:t>质疑项目的编号：包号：</w:t>
      </w:r>
    </w:p>
    <w:p>
      <w:pPr>
        <w:adjustRightInd w:val="0"/>
        <w:snapToGrid w:val="0"/>
        <w:spacing w:line="480" w:lineRule="exact"/>
        <w:rPr>
          <w:rFonts w:hint="eastAsia" w:ascii="宋体" w:hAnsi="宋体" w:eastAsia="宋体" w:cs="宋体"/>
          <w:color w:val="auto"/>
          <w:sz w:val="24"/>
          <w:u w:val="dotted"/>
        </w:rPr>
      </w:pPr>
      <w:r>
        <w:rPr>
          <w:rFonts w:hint="eastAsia" w:ascii="宋体" w:hAnsi="宋体" w:eastAsia="宋体" w:cs="宋体"/>
          <w:color w:val="auto"/>
          <w:sz w:val="24"/>
        </w:rPr>
        <w:t>采购人名称：</w:t>
      </w:r>
    </w:p>
    <w:p>
      <w:pPr>
        <w:adjustRightInd w:val="0"/>
        <w:snapToGrid w:val="0"/>
        <w:spacing w:line="480" w:lineRule="exact"/>
        <w:rPr>
          <w:rFonts w:hint="eastAsia" w:ascii="宋体" w:hAnsi="宋体" w:eastAsia="宋体" w:cs="宋体"/>
          <w:color w:val="auto"/>
          <w:sz w:val="24"/>
        </w:rPr>
      </w:pPr>
      <w:r>
        <w:rPr>
          <w:rFonts w:hint="eastAsia" w:ascii="宋体" w:hAnsi="宋体" w:eastAsia="宋体" w:cs="宋体"/>
          <w:color w:val="auto"/>
          <w:sz w:val="24"/>
        </w:rPr>
        <w:t>采购文件获取日期：</w:t>
      </w:r>
    </w:p>
    <w:p>
      <w:pPr>
        <w:adjustRightInd w:val="0"/>
        <w:snapToGrid w:val="0"/>
        <w:spacing w:line="480" w:lineRule="exact"/>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pPr>
        <w:adjustRightInd w:val="0"/>
        <w:snapToGrid w:val="0"/>
        <w:spacing w:line="480" w:lineRule="exact"/>
        <w:rPr>
          <w:rFonts w:hint="eastAsia" w:ascii="宋体" w:hAnsi="宋体" w:eastAsia="宋体" w:cs="宋体"/>
          <w:color w:val="auto"/>
          <w:sz w:val="24"/>
          <w:u w:val="dotted"/>
        </w:rPr>
      </w:pPr>
      <w:r>
        <w:rPr>
          <w:rFonts w:hint="eastAsia" w:ascii="宋体" w:hAnsi="宋体" w:eastAsia="宋体" w:cs="宋体"/>
          <w:color w:val="auto"/>
          <w:sz w:val="24"/>
        </w:rPr>
        <w:t>质疑事项1：</w:t>
      </w:r>
    </w:p>
    <w:p>
      <w:pPr>
        <w:adjustRightInd w:val="0"/>
        <w:snapToGrid w:val="0"/>
        <w:spacing w:line="480" w:lineRule="exact"/>
        <w:rPr>
          <w:rFonts w:hint="eastAsia" w:ascii="宋体" w:hAnsi="宋体" w:eastAsia="宋体" w:cs="宋体"/>
          <w:color w:val="auto"/>
          <w:sz w:val="24"/>
          <w:u w:val="dotted"/>
        </w:rPr>
      </w:pPr>
      <w:r>
        <w:rPr>
          <w:rFonts w:hint="eastAsia" w:ascii="宋体" w:hAnsi="宋体" w:eastAsia="宋体" w:cs="宋体"/>
          <w:color w:val="auto"/>
          <w:sz w:val="24"/>
        </w:rPr>
        <w:t>事实依据：</w:t>
      </w:r>
    </w:p>
    <w:p>
      <w:pPr>
        <w:adjustRightInd w:val="0"/>
        <w:snapToGrid w:val="0"/>
        <w:spacing w:line="480" w:lineRule="exact"/>
        <w:rPr>
          <w:rFonts w:hint="eastAsia" w:ascii="宋体" w:hAnsi="宋体" w:eastAsia="宋体" w:cs="宋体"/>
          <w:color w:val="auto"/>
          <w:sz w:val="24"/>
        </w:rPr>
      </w:pPr>
    </w:p>
    <w:p>
      <w:pPr>
        <w:adjustRightInd w:val="0"/>
        <w:snapToGrid w:val="0"/>
        <w:spacing w:line="480" w:lineRule="exact"/>
        <w:rPr>
          <w:rFonts w:hint="eastAsia" w:ascii="宋体" w:hAnsi="宋体" w:eastAsia="宋体" w:cs="宋体"/>
          <w:color w:val="auto"/>
          <w:sz w:val="24"/>
          <w:u w:val="dotted"/>
        </w:rPr>
      </w:pPr>
      <w:r>
        <w:rPr>
          <w:rFonts w:hint="eastAsia" w:ascii="宋体" w:hAnsi="宋体" w:eastAsia="宋体" w:cs="宋体"/>
          <w:color w:val="auto"/>
          <w:sz w:val="24"/>
        </w:rPr>
        <w:t>法律依据：</w:t>
      </w:r>
    </w:p>
    <w:p>
      <w:pPr>
        <w:adjustRightInd w:val="0"/>
        <w:snapToGrid w:val="0"/>
        <w:spacing w:line="480" w:lineRule="exact"/>
        <w:rPr>
          <w:rFonts w:hint="eastAsia" w:ascii="宋体" w:hAnsi="宋体" w:eastAsia="宋体" w:cs="宋体"/>
          <w:color w:val="auto"/>
          <w:sz w:val="24"/>
          <w:u w:val="dotted"/>
        </w:rPr>
      </w:pPr>
    </w:p>
    <w:p>
      <w:pPr>
        <w:adjustRightInd w:val="0"/>
        <w:snapToGrid w:val="0"/>
        <w:spacing w:line="480" w:lineRule="exact"/>
        <w:rPr>
          <w:rFonts w:hint="eastAsia" w:ascii="宋体" w:hAnsi="宋体" w:eastAsia="宋体" w:cs="宋体"/>
          <w:color w:val="auto"/>
          <w:sz w:val="24"/>
          <w:u w:val="dotted"/>
        </w:rPr>
      </w:pPr>
      <w:r>
        <w:rPr>
          <w:rFonts w:hint="eastAsia" w:ascii="宋体" w:hAnsi="宋体" w:eastAsia="宋体" w:cs="宋体"/>
          <w:color w:val="auto"/>
          <w:sz w:val="24"/>
        </w:rPr>
        <w:t>质疑事项2</w:t>
      </w:r>
    </w:p>
    <w:p>
      <w:pPr>
        <w:adjustRightInd w:val="0"/>
        <w:snapToGrid w:val="0"/>
        <w:spacing w:line="480" w:lineRule="exact"/>
        <w:rPr>
          <w:rFonts w:hint="eastAsia" w:ascii="宋体" w:hAnsi="宋体" w:eastAsia="宋体" w:cs="宋体"/>
          <w:color w:val="auto"/>
          <w:sz w:val="24"/>
        </w:rPr>
      </w:pPr>
      <w:r>
        <w:rPr>
          <w:rFonts w:hint="eastAsia" w:ascii="宋体" w:hAnsi="宋体" w:eastAsia="宋体" w:cs="宋体"/>
          <w:color w:val="auto"/>
          <w:sz w:val="24"/>
        </w:rPr>
        <w:t>……</w:t>
      </w:r>
    </w:p>
    <w:p>
      <w:pPr>
        <w:adjustRightInd w:val="0"/>
        <w:snapToGrid w:val="0"/>
        <w:spacing w:line="480" w:lineRule="exact"/>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pPr>
        <w:adjustRightInd w:val="0"/>
        <w:snapToGrid w:val="0"/>
        <w:spacing w:line="480" w:lineRule="exact"/>
        <w:rPr>
          <w:rFonts w:hint="eastAsia" w:ascii="宋体" w:hAnsi="宋体" w:eastAsia="宋体" w:cs="宋体"/>
          <w:color w:val="auto"/>
          <w:sz w:val="24"/>
          <w:u w:val="dotted"/>
        </w:rPr>
      </w:pPr>
      <w:r>
        <w:rPr>
          <w:rFonts w:hint="eastAsia" w:ascii="宋体" w:hAnsi="宋体" w:eastAsia="宋体" w:cs="宋体"/>
          <w:color w:val="auto"/>
          <w:sz w:val="24"/>
        </w:rPr>
        <w:t>请求：</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日期：    </w:t>
      </w:r>
    </w:p>
    <w:p>
      <w:pPr>
        <w:adjustRightInd w:val="0"/>
        <w:snapToGrid w:val="0"/>
        <w:spacing w:line="480" w:lineRule="exact"/>
        <w:rPr>
          <w:rFonts w:hint="eastAsia" w:ascii="宋体" w:hAnsi="宋体" w:eastAsia="宋体" w:cs="宋体"/>
          <w:color w:val="auto"/>
          <w:sz w:val="24"/>
        </w:rPr>
      </w:pPr>
    </w:p>
    <w:p>
      <w:pPr>
        <w:spacing w:line="480" w:lineRule="exact"/>
        <w:rPr>
          <w:rFonts w:hint="eastAsia" w:ascii="宋体" w:hAnsi="宋体" w:eastAsia="宋体" w:cs="宋体"/>
          <w:b/>
          <w:color w:val="auto"/>
          <w:sz w:val="24"/>
        </w:rPr>
      </w:pPr>
    </w:p>
    <w:p>
      <w:pPr>
        <w:spacing w:line="480" w:lineRule="exact"/>
        <w:rPr>
          <w:rFonts w:hint="eastAsia" w:ascii="宋体" w:hAnsi="宋体" w:eastAsia="宋体" w:cs="宋体"/>
          <w:b/>
          <w:color w:val="auto"/>
          <w:sz w:val="24"/>
        </w:rPr>
      </w:pPr>
    </w:p>
    <w:p>
      <w:pPr>
        <w:spacing w:line="480" w:lineRule="exact"/>
        <w:rPr>
          <w:rFonts w:hint="eastAsia" w:ascii="宋体" w:hAnsi="宋体" w:eastAsia="宋体" w:cs="宋体"/>
          <w:b/>
          <w:color w:val="auto"/>
          <w:sz w:val="24"/>
        </w:rPr>
      </w:pPr>
      <w:r>
        <w:rPr>
          <w:rFonts w:hint="eastAsia" w:ascii="宋体" w:hAnsi="宋体" w:eastAsia="宋体" w:cs="宋体"/>
          <w:b/>
          <w:color w:val="auto"/>
          <w:sz w:val="24"/>
        </w:rPr>
        <w:t>质疑函制作说明：</w:t>
      </w:r>
    </w:p>
    <w:p>
      <w:pPr>
        <w:widowControl/>
        <w:spacing w:line="48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pPr>
        <w:widowControl/>
        <w:spacing w:line="48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pPr>
        <w:widowControl/>
        <w:spacing w:line="48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pPr>
        <w:widowControl/>
        <w:spacing w:line="48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pPr>
        <w:widowControl/>
        <w:spacing w:line="48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pPr>
        <w:widowControl/>
        <w:spacing w:line="48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pPr>
        <w:autoSpaceDE w:val="0"/>
        <w:autoSpaceDN w:val="0"/>
        <w:adjustRightInd w:val="0"/>
        <w:snapToGrid w:val="0"/>
        <w:spacing w:line="480" w:lineRule="exact"/>
        <w:ind w:left="4513" w:right="210" w:hanging="4513"/>
        <w:jc w:val="center"/>
        <w:rPr>
          <w:rFonts w:hint="eastAsia" w:ascii="宋体" w:hAnsi="宋体" w:eastAsia="宋体" w:cs="宋体"/>
          <w:b/>
          <w:bCs/>
          <w:color w:val="auto"/>
          <w:sz w:val="24"/>
          <w:lang w:val="zh-CN"/>
        </w:rPr>
        <w:sectPr>
          <w:pgSz w:w="11907" w:h="16839"/>
          <w:pgMar w:top="1440" w:right="1588" w:bottom="1440" w:left="1588" w:header="720" w:footer="720" w:gutter="0"/>
          <w:cols w:space="720" w:num="1"/>
          <w:docGrid w:linePitch="286" w:charSpace="0"/>
        </w:sectPr>
      </w:pPr>
    </w:p>
    <w:p>
      <w:pPr>
        <w:spacing w:line="480" w:lineRule="exact"/>
        <w:ind w:firstLine="577" w:firstLineChars="200"/>
        <w:jc w:val="center"/>
        <w:textAlignment w:val="baseline"/>
        <w:outlineLvl w:val="0"/>
        <w:rPr>
          <w:rFonts w:hint="eastAsia" w:ascii="宋体" w:hAnsi="宋体" w:eastAsia="宋体" w:cs="宋体"/>
          <w:b/>
          <w:bCs/>
          <w:color w:val="auto"/>
          <w:kern w:val="44"/>
          <w:sz w:val="24"/>
          <w:szCs w:val="24"/>
        </w:rPr>
      </w:pPr>
      <w:bookmarkStart w:id="77" w:name="_Toc363573860"/>
      <w:r>
        <w:rPr>
          <w:rFonts w:hint="eastAsia" w:ascii="宋体" w:hAnsi="宋体" w:eastAsia="宋体" w:cs="宋体"/>
          <w:b/>
          <w:bCs/>
          <w:color w:val="auto"/>
          <w:w w:val="80"/>
          <w:kern w:val="44"/>
          <w:sz w:val="36"/>
          <w:szCs w:val="36"/>
        </w:rPr>
        <w:t>第七章响应文件组成及格式</w:t>
      </w:r>
      <w:bookmarkEnd w:id="77"/>
    </w:p>
    <w:p>
      <w:pPr>
        <w:widowControl/>
        <w:spacing w:line="480" w:lineRule="exact"/>
        <w:ind w:firstLine="480"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响应文件由资格审查文件、技术响应文件、商务报价响应文件</w:t>
      </w:r>
      <w:r>
        <w:rPr>
          <w:rFonts w:hint="eastAsia" w:ascii="宋体" w:hAnsi="宋体" w:cs="宋体"/>
          <w:b/>
          <w:bCs/>
          <w:color w:val="auto"/>
          <w:sz w:val="24"/>
          <w:szCs w:val="24"/>
          <w:lang w:eastAsia="zh-CN"/>
        </w:rPr>
        <w:t>、电子响应文件</w:t>
      </w: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rPr>
        <w:t>部分组成。</w:t>
      </w:r>
    </w:p>
    <w:p>
      <w:pPr>
        <w:widowControl/>
        <w:spacing w:line="480" w:lineRule="exact"/>
        <w:ind w:firstLine="480"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一、资格审查文件</w:t>
      </w: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en-US" w:eastAsia="zh-CN"/>
        </w:rPr>
        <w:t>一正二副，</w:t>
      </w:r>
      <w:r>
        <w:rPr>
          <w:rFonts w:hint="eastAsia" w:ascii="宋体" w:hAnsi="宋体" w:eastAsia="宋体" w:cs="宋体"/>
          <w:b/>
          <w:bCs/>
          <w:color w:val="auto"/>
          <w:sz w:val="24"/>
          <w:szCs w:val="24"/>
        </w:rPr>
        <w:t>单独密封</w:t>
      </w:r>
      <w:r>
        <w:rPr>
          <w:rFonts w:hint="eastAsia" w:ascii="宋体" w:hAnsi="宋体" w:eastAsia="宋体" w:cs="宋体"/>
          <w:b/>
          <w:bCs/>
          <w:color w:val="auto"/>
          <w:sz w:val="24"/>
          <w:szCs w:val="24"/>
          <w:lang w:val="zh-CN"/>
        </w:rPr>
        <w:t>）</w:t>
      </w:r>
    </w:p>
    <w:p>
      <w:pPr>
        <w:pStyle w:val="213"/>
        <w:widowControl/>
        <w:spacing w:line="480" w:lineRule="exact"/>
        <w:ind w:firstLine="480"/>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提供有效的营业执照（提供复印件并加盖公章）。</w:t>
      </w:r>
    </w:p>
    <w:p>
      <w:pPr>
        <w:pStyle w:val="213"/>
        <w:widowControl/>
        <w:spacing w:line="480" w:lineRule="exact"/>
        <w:ind w:firstLine="480"/>
        <w:outlineLvl w:val="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法定代表人参加</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的，必须提供法定代表人身份证明及法定代表人本人身份证复印件（格式参见第七章）；非法定代表人参加</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的，必须提供法定代表人签名或盖章的授权委托书及法定代表人和被授权人两个人的身份证复印件（格式参见第七章）。</w:t>
      </w:r>
    </w:p>
    <w:p>
      <w:pPr>
        <w:widowControl/>
        <w:spacing w:line="480" w:lineRule="exact"/>
        <w:ind w:firstLine="480" w:firstLineChars="200"/>
        <w:outlineLvl w:val="0"/>
        <w:rPr>
          <w:rFonts w:hint="eastAsia" w:ascii="宋体" w:hAnsi="宋体" w:eastAsia="宋体" w:cs="宋体"/>
          <w:color w:val="auto"/>
          <w:sz w:val="24"/>
          <w:szCs w:val="24"/>
        </w:rPr>
      </w:pPr>
      <w:r>
        <w:rPr>
          <w:rFonts w:hint="eastAsia" w:ascii="宋体" w:hAnsi="宋体" w:eastAsia="宋体" w:cs="宋体"/>
          <w:color w:val="auto"/>
          <w:sz w:val="24"/>
          <w:szCs w:val="24"/>
        </w:rPr>
        <w:t>3. 书面声明函（格式参见第七章）。</w:t>
      </w:r>
    </w:p>
    <w:p>
      <w:pPr>
        <w:widowControl/>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4．供应商须提供参与本次项目采购活动前三年内，在经营活动中没有重大违法记录的书面《无重大违法记录声明函》（格式参见第七章）。</w:t>
      </w:r>
    </w:p>
    <w:p>
      <w:pPr>
        <w:widowControl/>
        <w:spacing w:line="480" w:lineRule="exact"/>
        <w:ind w:firstLine="480" w:firstLineChars="200"/>
        <w:jc w:val="left"/>
        <w:rPr>
          <w:rFonts w:hint="default" w:ascii="宋体" w:hAnsi="宋体" w:eastAsia="宋体" w:cs="宋体"/>
          <w:b/>
          <w:color w:val="auto"/>
          <w:sz w:val="24"/>
          <w:szCs w:val="24"/>
          <w:lang w:val="en-US" w:eastAsia="zh-CN"/>
        </w:rPr>
      </w:pPr>
      <w:r>
        <w:rPr>
          <w:rFonts w:hint="eastAsia" w:ascii="宋体" w:hAnsi="宋体" w:cs="宋体"/>
          <w:color w:val="auto"/>
          <w:sz w:val="24"/>
          <w:szCs w:val="24"/>
          <w:lang w:val="en-US" w:eastAsia="zh-CN"/>
        </w:rPr>
        <w:t xml:space="preserve">5. </w:t>
      </w:r>
      <w:r>
        <w:rPr>
          <w:rFonts w:hint="eastAsia" w:ascii="宋体" w:hAnsi="宋体" w:cs="宋体"/>
          <w:color w:val="auto"/>
          <w:sz w:val="24"/>
          <w:highlight w:val="none"/>
          <w:lang w:val="en-US" w:eastAsia="zh-CN"/>
        </w:rPr>
        <w:t>拟派项目负责人需具有注册安全工程师证书且注册在投标企业，并提供社保机构出具的供应商为其缴纳的2025年2月-2025年5月任意一个月的社保缴纳证明材料。</w:t>
      </w:r>
    </w:p>
    <w:p>
      <w:pPr>
        <w:widowControl/>
        <w:spacing w:line="480" w:lineRule="exact"/>
        <w:ind w:firstLine="480"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二、技术响应文件（</w:t>
      </w:r>
      <w:r>
        <w:rPr>
          <w:rFonts w:hint="eastAsia" w:ascii="宋体" w:hAnsi="宋体" w:cs="宋体"/>
          <w:b/>
          <w:bCs/>
          <w:color w:val="auto"/>
          <w:sz w:val="24"/>
          <w:szCs w:val="24"/>
          <w:lang w:val="en-US" w:eastAsia="zh-CN"/>
        </w:rPr>
        <w:t>一正二副，</w:t>
      </w:r>
      <w:r>
        <w:rPr>
          <w:rFonts w:hint="eastAsia" w:ascii="宋体" w:hAnsi="宋体" w:eastAsia="宋体" w:cs="宋体"/>
          <w:b/>
          <w:bCs/>
          <w:color w:val="auto"/>
          <w:sz w:val="24"/>
          <w:szCs w:val="24"/>
        </w:rPr>
        <w:t>单独密封）</w:t>
      </w:r>
    </w:p>
    <w:p>
      <w:pPr>
        <w:widowControl/>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1.竞争性磋商响应函（格式参见第七章）；</w:t>
      </w:r>
    </w:p>
    <w:p>
      <w:pPr>
        <w:widowControl/>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2.技术部分正负偏离表（格式参见第七章）；</w:t>
      </w:r>
    </w:p>
    <w:p>
      <w:pPr>
        <w:widowControl/>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3.商务部分正负偏离表（格式参见第七章）；</w:t>
      </w:r>
    </w:p>
    <w:p>
      <w:pPr>
        <w:widowControl/>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4.评标办法中所涉及的事项需提供的所有资料；</w:t>
      </w:r>
    </w:p>
    <w:p>
      <w:pPr>
        <w:widowControl/>
        <w:spacing w:line="480" w:lineRule="exact"/>
        <w:ind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.采购文件要求递交的其他材料；</w:t>
      </w:r>
    </w:p>
    <w:p>
      <w:pPr>
        <w:widowControl/>
        <w:spacing w:line="480" w:lineRule="exact"/>
        <w:ind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.评标办法中未涉及的事项，供应商认为需要提交的其他资料。</w:t>
      </w:r>
    </w:p>
    <w:p>
      <w:pPr>
        <w:widowControl/>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注：为方便评委评估，请供应商按评标办法中所涉及的事项顺序进行编制，可以补充相关材料。</w:t>
      </w:r>
    </w:p>
    <w:p>
      <w:pPr>
        <w:widowControl/>
        <w:spacing w:line="480" w:lineRule="exact"/>
        <w:ind w:firstLine="480"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三、商务报价响应文件（</w:t>
      </w:r>
      <w:r>
        <w:rPr>
          <w:rFonts w:hint="eastAsia" w:ascii="宋体" w:hAnsi="宋体" w:cs="宋体"/>
          <w:b/>
          <w:bCs/>
          <w:color w:val="auto"/>
          <w:sz w:val="24"/>
          <w:szCs w:val="24"/>
          <w:lang w:val="en-US" w:eastAsia="zh-CN"/>
        </w:rPr>
        <w:t>一正二副，</w:t>
      </w:r>
      <w:r>
        <w:rPr>
          <w:rFonts w:hint="eastAsia" w:ascii="宋体" w:hAnsi="宋体" w:eastAsia="宋体" w:cs="宋体"/>
          <w:b/>
          <w:bCs/>
          <w:color w:val="auto"/>
          <w:sz w:val="24"/>
          <w:szCs w:val="24"/>
        </w:rPr>
        <w:t>单独密封）</w:t>
      </w:r>
    </w:p>
    <w:p>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1.磋商响应报价表（格式参见第七章）</w:t>
      </w:r>
      <w:r>
        <w:rPr>
          <w:rFonts w:hint="eastAsia" w:ascii="宋体" w:hAnsi="宋体" w:cs="宋体"/>
          <w:color w:val="auto"/>
          <w:sz w:val="24"/>
          <w:szCs w:val="24"/>
          <w:lang w:eastAsia="zh-CN"/>
        </w:rPr>
        <w:t>。</w:t>
      </w:r>
    </w:p>
    <w:p>
      <w:pPr>
        <w:widowControl/>
        <w:spacing w:line="480" w:lineRule="exact"/>
        <w:ind w:firstLine="480"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、电子响应文件（</w:t>
      </w:r>
      <w:r>
        <w:rPr>
          <w:rFonts w:hint="eastAsia" w:ascii="宋体" w:hAnsi="宋体" w:cs="宋体"/>
          <w:b/>
          <w:bCs/>
          <w:color w:val="auto"/>
          <w:sz w:val="24"/>
          <w:szCs w:val="24"/>
          <w:lang w:val="en-US" w:eastAsia="zh-CN"/>
        </w:rPr>
        <w:t>一份，</w:t>
      </w:r>
      <w:r>
        <w:rPr>
          <w:rFonts w:hint="eastAsia" w:ascii="宋体" w:hAnsi="宋体" w:eastAsia="宋体" w:cs="宋体"/>
          <w:b/>
          <w:bCs/>
          <w:color w:val="auto"/>
          <w:sz w:val="24"/>
          <w:szCs w:val="24"/>
        </w:rPr>
        <w:t>单独密封）</w:t>
      </w:r>
    </w:p>
    <w:p>
      <w:pPr>
        <w:spacing w:line="480" w:lineRule="exact"/>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电子响应文件的内容为“资格审查文件、技术响应文件、商务报价响应文件”的打印盖章后的响应文件的扫描件（资格审查文件、技术响应文件、商务报价响应文件需分别逐页连续扫描为三个独立的PDF文件）</w:t>
      </w:r>
      <w:r>
        <w:rPr>
          <w:rFonts w:hint="eastAsia" w:ascii="宋体" w:hAnsi="宋体" w:cs="宋体"/>
          <w:color w:val="auto"/>
          <w:sz w:val="24"/>
          <w:szCs w:val="24"/>
          <w:lang w:eastAsia="zh-CN"/>
        </w:rPr>
        <w:t>，采取U盘方式单独密封提交。</w:t>
      </w:r>
      <w:r>
        <w:rPr>
          <w:rFonts w:hint="eastAsia" w:ascii="宋体" w:hAnsi="宋体" w:eastAsia="宋体" w:cs="宋体"/>
          <w:color w:val="auto"/>
          <w:sz w:val="24"/>
          <w:szCs w:val="24"/>
        </w:rPr>
        <w:br w:type="page"/>
      </w:r>
      <w:r>
        <w:rPr>
          <w:rFonts w:hint="eastAsia" w:ascii="宋体" w:hAnsi="宋体" w:eastAsia="宋体" w:cs="宋体"/>
          <w:b/>
          <w:bCs/>
          <w:color w:val="auto"/>
          <w:sz w:val="24"/>
          <w:szCs w:val="24"/>
        </w:rPr>
        <w:t>附件：</w:t>
      </w:r>
    </w:p>
    <w:p>
      <w:pPr>
        <w:spacing w:line="480" w:lineRule="exact"/>
        <w:ind w:firstLine="480" w:firstLineChars="200"/>
        <w:rPr>
          <w:rFonts w:hint="eastAsia" w:ascii="宋体" w:hAnsi="宋体" w:eastAsia="宋体" w:cs="宋体"/>
          <w:b/>
          <w:bCs/>
          <w:color w:val="auto"/>
          <w:sz w:val="24"/>
          <w:szCs w:val="24"/>
        </w:rPr>
      </w:pPr>
    </w:p>
    <w:p>
      <w:pPr>
        <w:spacing w:line="480" w:lineRule="exact"/>
        <w:jc w:val="center"/>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 xml:space="preserve">项目名称 </w:t>
      </w:r>
    </w:p>
    <w:p>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标段号：</w:t>
      </w:r>
    </w:p>
    <w:p>
      <w:pPr>
        <w:spacing w:line="480" w:lineRule="exact"/>
        <w:ind w:firstLine="2400" w:firstLineChars="1000"/>
        <w:rPr>
          <w:rFonts w:hint="eastAsia" w:ascii="宋体" w:hAnsi="宋体" w:eastAsia="宋体" w:cs="宋体"/>
          <w:color w:val="auto"/>
          <w:sz w:val="24"/>
          <w:szCs w:val="24"/>
        </w:rPr>
      </w:pPr>
    </w:p>
    <w:p>
      <w:pPr>
        <w:spacing w:line="480" w:lineRule="exact"/>
        <w:rPr>
          <w:rFonts w:hint="eastAsia" w:ascii="宋体" w:hAnsi="宋体" w:eastAsia="宋体" w:cs="宋体"/>
          <w:color w:val="auto"/>
          <w:sz w:val="24"/>
          <w:szCs w:val="24"/>
        </w:rPr>
      </w:pPr>
    </w:p>
    <w:p>
      <w:pPr>
        <w:spacing w:line="480" w:lineRule="exact"/>
        <w:rPr>
          <w:rFonts w:hint="eastAsia" w:ascii="宋体" w:hAnsi="宋体" w:eastAsia="宋体" w:cs="宋体"/>
          <w:color w:val="auto"/>
          <w:sz w:val="24"/>
          <w:szCs w:val="24"/>
        </w:rPr>
      </w:pPr>
    </w:p>
    <w:p>
      <w:pPr>
        <w:spacing w:line="480" w:lineRule="exact"/>
        <w:rPr>
          <w:rFonts w:hint="eastAsia" w:ascii="宋体" w:hAnsi="宋体" w:eastAsia="宋体" w:cs="宋体"/>
          <w:color w:val="auto"/>
          <w:sz w:val="24"/>
          <w:szCs w:val="24"/>
        </w:rPr>
      </w:pP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w:t>
      </w:r>
    </w:p>
    <w:p>
      <w:pPr>
        <w:spacing w:line="480" w:lineRule="exact"/>
        <w:rPr>
          <w:rFonts w:hint="eastAsia" w:ascii="宋体" w:hAnsi="宋体" w:eastAsia="宋体" w:cs="宋体"/>
          <w:color w:val="auto"/>
          <w:sz w:val="24"/>
          <w:szCs w:val="24"/>
        </w:rPr>
      </w:pPr>
    </w:p>
    <w:p>
      <w:pPr>
        <w:spacing w:line="480" w:lineRule="exact"/>
        <w:ind w:firstLine="1920" w:firstLineChars="800"/>
        <w:rPr>
          <w:rFonts w:hint="eastAsia" w:ascii="宋体" w:hAnsi="宋体" w:eastAsia="宋体" w:cs="宋体"/>
          <w:color w:val="auto"/>
          <w:sz w:val="24"/>
          <w:szCs w:val="24"/>
        </w:rPr>
      </w:pPr>
      <w:r>
        <w:rPr>
          <w:rFonts w:hint="eastAsia" w:ascii="宋体" w:hAnsi="宋体" w:eastAsia="宋体" w:cs="宋体"/>
          <w:color w:val="auto"/>
          <w:sz w:val="24"/>
          <w:szCs w:val="24"/>
        </w:rPr>
        <w:t>对应响应文件填写：资格审查文件</w:t>
      </w:r>
    </w:p>
    <w:p>
      <w:pPr>
        <w:spacing w:line="480" w:lineRule="exact"/>
        <w:ind w:firstLine="1920" w:firstLineChars="800"/>
        <w:rPr>
          <w:rFonts w:hint="eastAsia" w:ascii="宋体" w:hAnsi="宋体" w:eastAsia="宋体" w:cs="宋体"/>
          <w:color w:val="auto"/>
          <w:sz w:val="24"/>
          <w:szCs w:val="24"/>
        </w:rPr>
      </w:pPr>
      <w:r>
        <w:rPr>
          <w:rFonts w:hint="eastAsia" w:ascii="宋体" w:hAnsi="宋体" w:eastAsia="宋体" w:cs="宋体"/>
          <w:color w:val="auto"/>
          <w:sz w:val="24"/>
          <w:szCs w:val="24"/>
        </w:rPr>
        <w:t>对应响应文件填写：技术响应文件</w:t>
      </w:r>
    </w:p>
    <w:p>
      <w:pPr>
        <w:spacing w:line="480" w:lineRule="exact"/>
        <w:ind w:firstLine="1920" w:firstLineChars="800"/>
        <w:rPr>
          <w:rFonts w:hint="eastAsia" w:ascii="宋体" w:hAnsi="宋体" w:eastAsia="宋体" w:cs="宋体"/>
          <w:color w:val="auto"/>
          <w:sz w:val="24"/>
          <w:szCs w:val="24"/>
        </w:rPr>
      </w:pPr>
      <w:r>
        <w:rPr>
          <w:rFonts w:hint="eastAsia" w:ascii="宋体" w:hAnsi="宋体" w:eastAsia="宋体" w:cs="宋体"/>
          <w:color w:val="auto"/>
          <w:sz w:val="24"/>
          <w:szCs w:val="24"/>
        </w:rPr>
        <w:t>对应响应文件填写：商务报价响应文件</w:t>
      </w:r>
    </w:p>
    <w:p>
      <w:pPr>
        <w:spacing w:line="480" w:lineRule="exact"/>
        <w:ind w:firstLine="1920" w:firstLineChars="800"/>
        <w:rPr>
          <w:rFonts w:hint="eastAsia" w:ascii="宋体" w:hAnsi="宋体" w:eastAsia="宋体" w:cs="宋体"/>
          <w:color w:val="auto"/>
          <w:sz w:val="24"/>
          <w:szCs w:val="24"/>
        </w:rPr>
      </w:pPr>
      <w:r>
        <w:rPr>
          <w:rFonts w:hint="eastAsia" w:ascii="宋体" w:hAnsi="宋体" w:eastAsia="宋体" w:cs="宋体"/>
          <w:color w:val="auto"/>
          <w:sz w:val="24"/>
          <w:szCs w:val="24"/>
        </w:rPr>
        <w:t>对应响应文件填写：电子响应文件</w:t>
      </w:r>
    </w:p>
    <w:p>
      <w:pPr>
        <w:spacing w:line="480" w:lineRule="exact"/>
        <w:jc w:val="center"/>
        <w:rPr>
          <w:rFonts w:hint="eastAsia" w:ascii="宋体" w:hAnsi="宋体" w:eastAsia="宋体" w:cs="宋体"/>
          <w:b/>
          <w:color w:val="auto"/>
          <w:sz w:val="24"/>
          <w:szCs w:val="24"/>
        </w:rPr>
      </w:pPr>
    </w:p>
    <w:p>
      <w:pPr>
        <w:spacing w:line="48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（资格后审）</w:t>
      </w:r>
    </w:p>
    <w:p>
      <w:pPr>
        <w:spacing w:line="480" w:lineRule="exact"/>
        <w:jc w:val="center"/>
        <w:rPr>
          <w:rFonts w:hint="eastAsia" w:ascii="宋体" w:hAnsi="宋体" w:eastAsia="宋体" w:cs="宋体"/>
          <w:b/>
          <w:color w:val="auto"/>
          <w:sz w:val="24"/>
          <w:szCs w:val="24"/>
        </w:rPr>
      </w:pPr>
    </w:p>
    <w:p>
      <w:pPr>
        <w:snapToGrid w:val="0"/>
        <w:spacing w:line="480" w:lineRule="exact"/>
        <w:jc w:val="center"/>
        <w:rPr>
          <w:rFonts w:hint="eastAsia" w:ascii="宋体" w:hAnsi="宋体" w:eastAsia="宋体" w:cs="宋体"/>
          <w:b/>
          <w:color w:val="auto"/>
          <w:sz w:val="24"/>
          <w:szCs w:val="24"/>
        </w:rPr>
      </w:pPr>
    </w:p>
    <w:p>
      <w:pPr>
        <w:spacing w:line="480" w:lineRule="exact"/>
        <w:rPr>
          <w:rFonts w:hint="eastAsia" w:ascii="宋体" w:hAnsi="宋体" w:eastAsia="宋体" w:cs="宋体"/>
          <w:color w:val="auto"/>
          <w:sz w:val="24"/>
          <w:szCs w:val="24"/>
        </w:rPr>
      </w:pPr>
    </w:p>
    <w:p>
      <w:pPr>
        <w:spacing w:line="480" w:lineRule="exact"/>
        <w:rPr>
          <w:rFonts w:hint="eastAsia" w:ascii="宋体" w:hAnsi="宋体" w:eastAsia="宋体" w:cs="宋体"/>
          <w:color w:val="auto"/>
          <w:sz w:val="24"/>
          <w:szCs w:val="24"/>
        </w:rPr>
      </w:pPr>
    </w:p>
    <w:p>
      <w:pPr>
        <w:spacing w:line="480" w:lineRule="exact"/>
        <w:rPr>
          <w:rFonts w:hint="eastAsia" w:ascii="宋体" w:hAnsi="宋体" w:eastAsia="宋体" w:cs="宋体"/>
          <w:color w:val="auto"/>
          <w:sz w:val="24"/>
          <w:szCs w:val="24"/>
        </w:rPr>
      </w:pPr>
    </w:p>
    <w:p>
      <w:pPr>
        <w:spacing w:line="480" w:lineRule="exact"/>
        <w:ind w:firstLine="1440" w:firstLineChars="600"/>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（参加响应供应商全称）（公章）</w:t>
      </w:r>
    </w:p>
    <w:p>
      <w:pPr>
        <w:spacing w:line="480" w:lineRule="exact"/>
        <w:ind w:firstLine="1440" w:firstLineChars="600"/>
        <w:rPr>
          <w:rFonts w:hint="eastAsia" w:ascii="宋体" w:hAnsi="宋体" w:eastAsia="宋体" w:cs="宋体"/>
          <w:color w:val="auto"/>
          <w:sz w:val="24"/>
          <w:szCs w:val="24"/>
        </w:rPr>
      </w:pPr>
      <w:r>
        <w:rPr>
          <w:rFonts w:hint="eastAsia" w:ascii="宋体" w:hAnsi="宋体" w:eastAsia="宋体" w:cs="宋体"/>
          <w:color w:val="auto"/>
          <w:sz w:val="24"/>
          <w:szCs w:val="24"/>
        </w:rPr>
        <w:t>日  期：      年  月  日</w:t>
      </w:r>
    </w:p>
    <w:p>
      <w:pPr>
        <w:spacing w:line="480" w:lineRule="exact"/>
        <w:jc w:val="left"/>
        <w:rPr>
          <w:rFonts w:hint="eastAsia" w:ascii="宋体" w:hAnsi="宋体" w:eastAsia="宋体" w:cs="宋体"/>
          <w:b/>
          <w:bCs/>
          <w:color w:val="auto"/>
          <w:sz w:val="24"/>
          <w:szCs w:val="24"/>
        </w:rPr>
      </w:pPr>
    </w:p>
    <w:p>
      <w:pPr>
        <w:spacing w:line="480" w:lineRule="exact"/>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1．法定代表人身份证明书</w:t>
      </w:r>
    </w:p>
    <w:p>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u w:val="single"/>
        </w:rPr>
        <w:t>（法定代表人参加</w:t>
      </w:r>
      <w:r>
        <w:rPr>
          <w:rFonts w:hint="eastAsia" w:ascii="宋体" w:hAnsi="宋体" w:eastAsia="宋体" w:cs="宋体"/>
          <w:color w:val="auto"/>
          <w:sz w:val="24"/>
          <w:szCs w:val="24"/>
          <w:u w:val="single"/>
          <w:lang w:val="en-US" w:eastAsia="zh-CN"/>
        </w:rPr>
        <w:t>响应</w:t>
      </w:r>
      <w:r>
        <w:rPr>
          <w:rFonts w:hint="eastAsia" w:ascii="宋体" w:hAnsi="宋体" w:eastAsia="宋体" w:cs="宋体"/>
          <w:color w:val="auto"/>
          <w:sz w:val="24"/>
          <w:szCs w:val="24"/>
          <w:u w:val="single"/>
        </w:rPr>
        <w:t>时，须出示此证明）</w:t>
      </w:r>
    </w:p>
    <w:p>
      <w:pPr>
        <w:adjustRightInd w:val="0"/>
        <w:snapToGrid w:val="0"/>
        <w:spacing w:line="480" w:lineRule="exact"/>
        <w:jc w:val="left"/>
        <w:rPr>
          <w:rFonts w:hint="eastAsia" w:ascii="宋体" w:hAnsi="宋体" w:eastAsia="宋体" w:cs="宋体"/>
          <w:color w:val="auto"/>
          <w:sz w:val="24"/>
          <w:szCs w:val="24"/>
          <w:u w:val="single"/>
        </w:rPr>
      </w:pPr>
    </w:p>
    <w:p>
      <w:pPr>
        <w:adjustRightInd w:val="0"/>
        <w:snapToGrid w:val="0"/>
        <w:spacing w:line="480" w:lineRule="exact"/>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（采购人）      ： </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我公司法定代表人</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参加贵单位组织的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（采购项目名称及项目编号)项目竞争性磋商采购活动，全权代表我公司处理</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的有关事宜。</w:t>
      </w:r>
    </w:p>
    <w:p>
      <w:pPr>
        <w:spacing w:line="480" w:lineRule="exact"/>
        <w:ind w:firstLine="480" w:firstLineChars="200"/>
        <w:rPr>
          <w:rFonts w:hint="eastAsia" w:ascii="宋体" w:hAnsi="宋体" w:eastAsia="宋体" w:cs="宋体"/>
          <w:color w:val="auto"/>
          <w:sz w:val="24"/>
          <w:szCs w:val="24"/>
        </w:rPr>
      </w:pPr>
    </w:p>
    <w:p>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附：法定代表人情况：</w:t>
      </w:r>
    </w:p>
    <w:p>
      <w:pPr>
        <w:spacing w:line="48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姓名： 性别： 年龄：  职务：</w:t>
      </w:r>
    </w:p>
    <w:p>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p>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手机：   传真：</w:t>
      </w:r>
    </w:p>
    <w:p>
      <w:pPr>
        <w:adjustRightInd w:val="0"/>
        <w:snapToGrid w:val="0"/>
        <w:spacing w:line="480" w:lineRule="exact"/>
        <w:ind w:firstLine="482"/>
        <w:rPr>
          <w:rFonts w:hint="eastAsia" w:ascii="宋体" w:hAnsi="宋体" w:eastAsia="宋体" w:cs="宋体"/>
          <w:color w:val="auto"/>
          <w:kern w:val="0"/>
          <w:sz w:val="24"/>
          <w:szCs w:val="24"/>
          <w:shd w:val="clear" w:color="auto" w:fill="FFFFFF"/>
        </w:rPr>
      </w:pPr>
    </w:p>
    <w:p>
      <w:pPr>
        <w:spacing w:line="480" w:lineRule="exact"/>
        <w:rPr>
          <w:rFonts w:hint="eastAsia" w:ascii="宋体" w:hAnsi="宋体" w:eastAsia="宋体" w:cs="宋体"/>
          <w:color w:val="auto"/>
          <w:sz w:val="24"/>
          <w:szCs w:val="24"/>
        </w:rPr>
      </w:pPr>
    </w:p>
    <w:p>
      <w:pPr>
        <w:widowControl/>
        <w:tabs>
          <w:tab w:val="right" w:leader="hyphen" w:pos="9736"/>
        </w:tabs>
        <w:spacing w:after="100" w:line="480" w:lineRule="exact"/>
        <w:jc w:val="center"/>
        <w:rPr>
          <w:rFonts w:hint="eastAsia" w:ascii="宋体" w:hAnsi="宋体" w:eastAsia="宋体" w:cs="宋体"/>
          <w:color w:val="auto"/>
          <w:kern w:val="0"/>
          <w:sz w:val="24"/>
          <w:szCs w:val="24"/>
        </w:rPr>
      </w:pPr>
    </w:p>
    <w:p>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单位名称（公章）             法定代表人（签字或盖章）</w:t>
      </w:r>
    </w:p>
    <w:p>
      <w:pPr>
        <w:spacing w:line="480" w:lineRule="exact"/>
        <w:ind w:firstLine="1200" w:firstLineChars="500"/>
        <w:rPr>
          <w:rFonts w:hint="eastAsia" w:ascii="宋体" w:hAnsi="宋体" w:eastAsia="宋体" w:cs="宋体"/>
          <w:color w:val="auto"/>
          <w:sz w:val="24"/>
          <w:szCs w:val="24"/>
        </w:rPr>
      </w:pPr>
      <w:r>
        <w:rPr>
          <w:rFonts w:hint="eastAsia" w:ascii="宋体" w:hAnsi="宋体" w:eastAsia="宋体" w:cs="宋体"/>
          <w:color w:val="auto"/>
          <w:sz w:val="24"/>
          <w:szCs w:val="24"/>
        </w:rPr>
        <w:t xml:space="preserve">年   月   日                 年   月    日  </w:t>
      </w:r>
    </w:p>
    <w:p>
      <w:pPr>
        <w:spacing w:line="480" w:lineRule="exact"/>
        <w:rPr>
          <w:rFonts w:hint="eastAsia" w:ascii="宋体" w:hAnsi="宋体" w:eastAsia="宋体" w:cs="宋体"/>
          <w:color w:val="auto"/>
          <w:sz w:val="24"/>
          <w:szCs w:val="24"/>
        </w:rPr>
      </w:pPr>
    </w:p>
    <w:p>
      <w:pPr>
        <w:spacing w:line="480" w:lineRule="exact"/>
        <w:rPr>
          <w:rFonts w:hint="eastAsia" w:ascii="宋体" w:hAnsi="宋体" w:eastAsia="宋体" w:cs="宋体"/>
          <w:color w:val="auto"/>
          <w:sz w:val="24"/>
          <w:szCs w:val="24"/>
        </w:rPr>
      </w:pPr>
    </w:p>
    <w:p>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法定代表人身份证复印件（正反面）</w:t>
      </w:r>
    </w:p>
    <w:p>
      <w:pPr>
        <w:spacing w:line="480" w:lineRule="exact"/>
        <w:rPr>
          <w:rFonts w:hint="eastAsia" w:ascii="宋体" w:hAnsi="宋体" w:eastAsia="宋体" w:cs="宋体"/>
          <w:color w:val="auto"/>
          <w:sz w:val="24"/>
          <w:szCs w:val="24"/>
        </w:rPr>
      </w:pPr>
    </w:p>
    <w:p>
      <w:pPr>
        <w:spacing w:line="480" w:lineRule="exact"/>
        <w:ind w:firstLine="2280" w:firstLineChars="950"/>
        <w:rPr>
          <w:rFonts w:hint="eastAsia" w:ascii="宋体" w:hAnsi="宋体" w:eastAsia="宋体" w:cs="宋体"/>
          <w:color w:val="auto"/>
          <w:sz w:val="24"/>
          <w:szCs w:val="24"/>
        </w:rPr>
      </w:pPr>
      <w:r>
        <w:rPr>
          <w:rFonts w:hint="eastAsia" w:ascii="宋体" w:hAnsi="宋体" w:eastAsia="宋体" w:cs="宋体"/>
          <w:color w:val="auto"/>
          <w:sz w:val="24"/>
          <w:szCs w:val="24"/>
        </w:rPr>
        <w:t>（粘贴此处）</w:t>
      </w:r>
    </w:p>
    <w:p>
      <w:pPr>
        <w:spacing w:line="480" w:lineRule="exact"/>
        <w:ind w:firstLine="2282" w:firstLineChars="950"/>
        <w:rPr>
          <w:rFonts w:hint="eastAsia" w:ascii="宋体" w:hAnsi="宋体" w:eastAsia="宋体" w:cs="宋体"/>
          <w:b/>
          <w:bCs/>
          <w:color w:val="auto"/>
          <w:sz w:val="24"/>
          <w:szCs w:val="24"/>
        </w:rPr>
      </w:pPr>
    </w:p>
    <w:p>
      <w:pPr>
        <w:spacing w:line="480" w:lineRule="exact"/>
        <w:ind w:firstLine="2282" w:firstLineChars="950"/>
        <w:rPr>
          <w:rFonts w:hint="eastAsia" w:ascii="宋体" w:hAnsi="宋体" w:eastAsia="宋体" w:cs="宋体"/>
          <w:b/>
          <w:bCs/>
          <w:color w:val="auto"/>
          <w:sz w:val="24"/>
          <w:szCs w:val="24"/>
        </w:rPr>
      </w:pP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2．授权委托书</w:t>
      </w:r>
    </w:p>
    <w:p>
      <w:pPr>
        <w:snapToGrid w:val="0"/>
        <w:spacing w:line="480" w:lineRule="exact"/>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（被授权人参加</w:t>
      </w:r>
      <w:r>
        <w:rPr>
          <w:rFonts w:hint="eastAsia" w:ascii="宋体" w:hAnsi="宋体" w:eastAsia="宋体" w:cs="宋体"/>
          <w:color w:val="auto"/>
          <w:sz w:val="24"/>
          <w:szCs w:val="24"/>
          <w:u w:val="single"/>
          <w:lang w:val="en-US" w:eastAsia="zh-CN"/>
        </w:rPr>
        <w:t>响应</w:t>
      </w:r>
      <w:r>
        <w:rPr>
          <w:rFonts w:hint="eastAsia" w:ascii="宋体" w:hAnsi="宋体" w:eastAsia="宋体" w:cs="宋体"/>
          <w:color w:val="auto"/>
          <w:sz w:val="24"/>
          <w:szCs w:val="24"/>
          <w:u w:val="single"/>
        </w:rPr>
        <w:t>时，须出示此证明）</w:t>
      </w:r>
    </w:p>
    <w:p>
      <w:pPr>
        <w:snapToGrid w:val="0"/>
        <w:spacing w:line="480" w:lineRule="exact"/>
        <w:rPr>
          <w:rFonts w:hint="eastAsia" w:ascii="宋体" w:hAnsi="宋体" w:eastAsia="宋体" w:cs="宋体"/>
          <w:bCs/>
          <w:color w:val="auto"/>
          <w:sz w:val="24"/>
          <w:szCs w:val="24"/>
        </w:rPr>
      </w:pPr>
    </w:p>
    <w:p>
      <w:pPr>
        <w:adjustRightInd w:val="0"/>
        <w:snapToGrid w:val="0"/>
        <w:spacing w:line="480" w:lineRule="exact"/>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（采购人）      ： </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兹授权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被授权人的姓名）代表我公司参加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（采购项目名称及项目编号)项目的采购活动，全权处理一切与该项目竞争性磋商有关的事务。其在办理上述事宜过程中所签署的所有文件我公司均予以承认。</w:t>
      </w:r>
    </w:p>
    <w:p>
      <w:pPr>
        <w:adjustRightInd w:val="0"/>
        <w:snapToGrid w:val="0"/>
        <w:spacing w:line="48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被授权人无转委托权，特此委托。</w:t>
      </w:r>
    </w:p>
    <w:p>
      <w:pPr>
        <w:adjustRightInd w:val="0"/>
        <w:snapToGrid w:val="0"/>
        <w:spacing w:line="480" w:lineRule="exact"/>
        <w:ind w:firstLine="480" w:firstLineChars="200"/>
        <w:jc w:val="left"/>
        <w:rPr>
          <w:rFonts w:hint="eastAsia" w:ascii="宋体" w:hAnsi="宋体" w:eastAsia="宋体" w:cs="宋体"/>
          <w:color w:val="auto"/>
          <w:sz w:val="24"/>
          <w:szCs w:val="24"/>
        </w:rPr>
      </w:pPr>
    </w:p>
    <w:p>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附：被授权人情况：</w:t>
      </w:r>
    </w:p>
    <w:p>
      <w:pPr>
        <w:spacing w:line="48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姓名： 性别： 年龄： 职务：</w:t>
      </w:r>
    </w:p>
    <w:p>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p>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手机：  传真：</w:t>
      </w:r>
    </w:p>
    <w:p>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单位名称（公章）             法定代表人（签字或盖章）</w:t>
      </w:r>
    </w:p>
    <w:p>
      <w:pPr>
        <w:spacing w:line="480" w:lineRule="exact"/>
        <w:ind w:firstLine="1200" w:firstLineChars="500"/>
        <w:rPr>
          <w:rFonts w:hint="eastAsia" w:ascii="宋体" w:hAnsi="宋体" w:eastAsia="宋体" w:cs="宋体"/>
          <w:color w:val="auto"/>
          <w:sz w:val="24"/>
          <w:szCs w:val="24"/>
        </w:rPr>
      </w:pPr>
      <w:r>
        <w:rPr>
          <w:rFonts w:hint="eastAsia" w:ascii="宋体" w:hAnsi="宋体" w:eastAsia="宋体" w:cs="宋体"/>
          <w:color w:val="auto"/>
          <w:sz w:val="24"/>
          <w:szCs w:val="24"/>
        </w:rPr>
        <w:t xml:space="preserve">年   月   日                 年   月    日  </w:t>
      </w:r>
    </w:p>
    <w:p>
      <w:pPr>
        <w:spacing w:line="480" w:lineRule="exact"/>
        <w:rPr>
          <w:rFonts w:hint="eastAsia" w:ascii="宋体" w:hAnsi="宋体" w:eastAsia="宋体" w:cs="宋体"/>
          <w:color w:val="auto"/>
          <w:sz w:val="24"/>
          <w:szCs w:val="24"/>
        </w:rPr>
      </w:pPr>
    </w:p>
    <w:p>
      <w:pPr>
        <w:spacing w:line="480" w:lineRule="exact"/>
        <w:rPr>
          <w:rFonts w:hint="eastAsia" w:ascii="宋体" w:hAnsi="宋体" w:eastAsia="宋体" w:cs="宋体"/>
          <w:color w:val="auto"/>
          <w:sz w:val="24"/>
          <w:szCs w:val="24"/>
        </w:rPr>
      </w:pPr>
    </w:p>
    <w:p>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法定代表人身份证复印件（正反面）</w:t>
      </w:r>
    </w:p>
    <w:p>
      <w:pPr>
        <w:spacing w:line="480" w:lineRule="exact"/>
        <w:rPr>
          <w:rFonts w:hint="eastAsia" w:ascii="宋体" w:hAnsi="宋体" w:eastAsia="宋体" w:cs="宋体"/>
          <w:color w:val="auto"/>
          <w:sz w:val="24"/>
          <w:szCs w:val="24"/>
        </w:rPr>
      </w:pPr>
    </w:p>
    <w:p>
      <w:pPr>
        <w:spacing w:line="480" w:lineRule="exact"/>
        <w:ind w:firstLine="2160" w:firstLineChars="900"/>
        <w:rPr>
          <w:rFonts w:hint="eastAsia" w:ascii="宋体" w:hAnsi="宋体" w:eastAsia="宋体" w:cs="宋体"/>
          <w:color w:val="auto"/>
          <w:sz w:val="24"/>
          <w:szCs w:val="24"/>
        </w:rPr>
      </w:pPr>
      <w:r>
        <w:rPr>
          <w:rFonts w:hint="eastAsia" w:ascii="宋体" w:hAnsi="宋体" w:eastAsia="宋体" w:cs="宋体"/>
          <w:color w:val="auto"/>
          <w:sz w:val="24"/>
          <w:szCs w:val="24"/>
        </w:rPr>
        <w:t>（粘贴此处）</w:t>
      </w:r>
    </w:p>
    <w:p>
      <w:pPr>
        <w:spacing w:line="480" w:lineRule="exact"/>
        <w:rPr>
          <w:rFonts w:hint="eastAsia" w:ascii="宋体" w:hAnsi="宋体" w:eastAsia="宋体" w:cs="宋体"/>
          <w:color w:val="auto"/>
          <w:sz w:val="24"/>
          <w:szCs w:val="24"/>
        </w:rPr>
      </w:pPr>
    </w:p>
    <w:p>
      <w:pPr>
        <w:spacing w:line="480" w:lineRule="exact"/>
        <w:rPr>
          <w:rFonts w:hint="eastAsia" w:ascii="宋体" w:hAnsi="宋体" w:eastAsia="宋体" w:cs="宋体"/>
          <w:color w:val="auto"/>
          <w:sz w:val="24"/>
          <w:szCs w:val="24"/>
        </w:rPr>
      </w:pPr>
    </w:p>
    <w:p>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被授权人身份证复印件（正反面）</w:t>
      </w:r>
    </w:p>
    <w:p>
      <w:pPr>
        <w:spacing w:line="480" w:lineRule="exact"/>
        <w:rPr>
          <w:rFonts w:hint="eastAsia" w:ascii="宋体" w:hAnsi="宋体" w:eastAsia="宋体" w:cs="宋体"/>
          <w:color w:val="auto"/>
          <w:sz w:val="24"/>
          <w:szCs w:val="24"/>
        </w:rPr>
      </w:pPr>
    </w:p>
    <w:p>
      <w:pPr>
        <w:spacing w:line="480" w:lineRule="exact"/>
        <w:rPr>
          <w:rFonts w:hint="eastAsia" w:ascii="宋体" w:hAnsi="宋体" w:eastAsia="宋体" w:cs="宋体"/>
          <w:color w:val="auto"/>
          <w:sz w:val="24"/>
          <w:szCs w:val="24"/>
        </w:rPr>
      </w:pPr>
    </w:p>
    <w:p>
      <w:pPr>
        <w:spacing w:line="480" w:lineRule="exact"/>
        <w:ind w:firstLine="2280" w:firstLineChars="950"/>
        <w:rPr>
          <w:rFonts w:hint="eastAsia" w:ascii="宋体" w:hAnsi="宋体" w:eastAsia="宋体" w:cs="宋体"/>
          <w:color w:val="auto"/>
          <w:sz w:val="24"/>
          <w:szCs w:val="24"/>
        </w:rPr>
      </w:pPr>
      <w:r>
        <w:rPr>
          <w:rFonts w:hint="eastAsia" w:ascii="宋体" w:hAnsi="宋体" w:eastAsia="宋体" w:cs="宋体"/>
          <w:color w:val="auto"/>
          <w:sz w:val="24"/>
          <w:szCs w:val="24"/>
        </w:rPr>
        <w:t>（粘贴此处）</w:t>
      </w:r>
    </w:p>
    <w:p>
      <w:pPr>
        <w:spacing w:line="480" w:lineRule="exact"/>
        <w:ind w:firstLine="2282" w:firstLineChars="950"/>
        <w:rPr>
          <w:rFonts w:hint="eastAsia" w:ascii="宋体" w:hAnsi="宋体" w:eastAsia="宋体" w:cs="宋体"/>
          <w:b/>
          <w:bCs/>
          <w:color w:val="auto"/>
          <w:sz w:val="24"/>
          <w:szCs w:val="24"/>
        </w:rPr>
      </w:pPr>
    </w:p>
    <w:p>
      <w:pPr>
        <w:snapToGrid w:val="0"/>
        <w:spacing w:line="480" w:lineRule="exact"/>
        <w:jc w:val="center"/>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napToGrid w:val="0"/>
        <w:spacing w:before="468" w:beforeLines="150" w:after="156" w:afterLines="50" w:line="480" w:lineRule="exact"/>
        <w:jc w:val="center"/>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3．书面声明函</w:t>
      </w:r>
    </w:p>
    <w:p>
      <w:pPr>
        <w:snapToGrid w:val="0"/>
        <w:spacing w:line="480" w:lineRule="exact"/>
        <w:contextualSpacing/>
        <w:rPr>
          <w:rFonts w:hint="eastAsia" w:ascii="宋体" w:hAnsi="宋体" w:eastAsia="宋体" w:cs="宋体"/>
          <w:b/>
          <w:color w:val="auto"/>
          <w:sz w:val="24"/>
          <w:szCs w:val="24"/>
          <w:u w:val="single"/>
        </w:rPr>
      </w:pPr>
      <w:r>
        <w:rPr>
          <w:rFonts w:hint="eastAsia" w:ascii="宋体" w:hAnsi="宋体" w:cs="宋体"/>
          <w:color w:val="auto"/>
          <w:sz w:val="24"/>
          <w:szCs w:val="24"/>
          <w:u w:val="single"/>
          <w:lang w:eastAsia="zh-CN"/>
        </w:rPr>
        <w:t>启东市汇龙镇人民政府</w:t>
      </w:r>
      <w:r>
        <w:rPr>
          <w:rFonts w:hint="eastAsia" w:ascii="宋体" w:hAnsi="宋体" w:eastAsia="宋体" w:cs="宋体"/>
          <w:color w:val="auto"/>
          <w:sz w:val="24"/>
          <w:szCs w:val="24"/>
          <w:u w:val="single"/>
        </w:rPr>
        <w:t>：</w:t>
      </w:r>
    </w:p>
    <w:p>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（填写供应商名称）郑重声明：</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我单位具有独立承担民事责任的能力；具有良好的商业信誉和健全的财务会计制度；具有履行合同所必需的设备和专业技术能力；有依法缴纳税收和社会保障资金的良好记录。</w:t>
      </w:r>
    </w:p>
    <w:p>
      <w:pPr>
        <w:spacing w:line="480" w:lineRule="exact"/>
        <w:rPr>
          <w:rFonts w:hint="eastAsia" w:ascii="宋体" w:hAnsi="宋体" w:eastAsia="宋体" w:cs="宋体"/>
          <w:color w:val="auto"/>
          <w:sz w:val="24"/>
          <w:szCs w:val="24"/>
        </w:rPr>
      </w:pPr>
    </w:p>
    <w:p>
      <w:pPr>
        <w:spacing w:line="480" w:lineRule="exact"/>
        <w:ind w:firstLine="4800" w:firstLineChars="2000"/>
        <w:rPr>
          <w:rFonts w:hint="eastAsia" w:ascii="宋体" w:hAnsi="宋体" w:eastAsia="宋体" w:cs="宋体"/>
          <w:color w:val="auto"/>
          <w:sz w:val="24"/>
          <w:szCs w:val="24"/>
        </w:rPr>
      </w:pPr>
    </w:p>
    <w:p>
      <w:pPr>
        <w:spacing w:line="480" w:lineRule="exact"/>
        <w:ind w:firstLine="4800" w:firstLineChars="2000"/>
        <w:rPr>
          <w:rFonts w:hint="eastAsia" w:ascii="宋体" w:hAnsi="宋体" w:eastAsia="宋体" w:cs="宋体"/>
          <w:color w:val="auto"/>
          <w:sz w:val="24"/>
          <w:szCs w:val="24"/>
        </w:rPr>
      </w:pPr>
      <w:r>
        <w:rPr>
          <w:rFonts w:hint="eastAsia" w:ascii="宋体" w:hAnsi="宋体" w:eastAsia="宋体" w:cs="宋体"/>
          <w:color w:val="auto"/>
          <w:sz w:val="24"/>
          <w:szCs w:val="24"/>
        </w:rPr>
        <w:t>声明人：（公章）</w:t>
      </w:r>
    </w:p>
    <w:p>
      <w:pPr>
        <w:snapToGrid w:val="0"/>
        <w:spacing w:before="468" w:beforeLines="150" w:after="156" w:afterLines="50" w:line="480" w:lineRule="exact"/>
        <w:jc w:val="center"/>
        <w:outlineLvl w:val="4"/>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        年月日</w:t>
      </w:r>
    </w:p>
    <w:p>
      <w:pPr>
        <w:spacing w:line="480" w:lineRule="exact"/>
        <w:jc w:val="center"/>
        <w:rPr>
          <w:rFonts w:hint="eastAsia" w:ascii="宋体" w:hAnsi="宋体" w:eastAsia="宋体" w:cs="宋体"/>
          <w:b/>
          <w:bCs/>
          <w:color w:val="auto"/>
          <w:sz w:val="24"/>
          <w:szCs w:val="24"/>
        </w:rPr>
      </w:pPr>
    </w:p>
    <w:p>
      <w:pPr>
        <w:spacing w:line="48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4.无重大违法记录声明函</w:t>
      </w:r>
    </w:p>
    <w:p>
      <w:pPr>
        <w:spacing w:line="480" w:lineRule="exact"/>
        <w:ind w:firstLine="881"/>
        <w:jc w:val="center"/>
        <w:rPr>
          <w:rFonts w:hint="eastAsia" w:ascii="宋体" w:hAnsi="宋体" w:eastAsia="宋体" w:cs="宋体"/>
          <w:b/>
          <w:bCs/>
          <w:color w:val="auto"/>
          <w:sz w:val="24"/>
          <w:szCs w:val="24"/>
        </w:rPr>
      </w:pPr>
    </w:p>
    <w:p>
      <w:pPr>
        <w:spacing w:line="480" w:lineRule="exact"/>
        <w:ind w:firstLine="482"/>
        <w:rPr>
          <w:rFonts w:hint="eastAsia" w:ascii="宋体" w:hAnsi="宋体" w:eastAsia="宋体" w:cs="宋体"/>
          <w:bCs/>
          <w:color w:val="auto"/>
          <w:sz w:val="24"/>
          <w:szCs w:val="24"/>
          <w:u w:val="double"/>
        </w:rPr>
      </w:pPr>
      <w:r>
        <w:rPr>
          <w:rFonts w:hint="eastAsia" w:ascii="宋体" w:hAnsi="宋体" w:eastAsia="宋体" w:cs="宋体"/>
          <w:bCs/>
          <w:color w:val="auto"/>
          <w:sz w:val="24"/>
          <w:szCs w:val="24"/>
        </w:rPr>
        <w:t>我公司郑重声明：参加本次采购活动前 3 年内，我公司在经营活动中</w:t>
      </w:r>
      <w:r>
        <w:rPr>
          <w:rFonts w:hint="eastAsia" w:ascii="宋体" w:hAnsi="宋体" w:eastAsia="宋体" w:cs="宋体"/>
          <w:bCs/>
          <w:color w:val="auto"/>
          <w:sz w:val="24"/>
          <w:szCs w:val="24"/>
          <w:u w:val="single"/>
        </w:rPr>
        <w:t xml:space="preserve">    </w:t>
      </w:r>
    </w:p>
    <w:p>
      <w:pPr>
        <w:spacing w:line="480" w:lineRule="exact"/>
        <w:rPr>
          <w:rFonts w:hint="eastAsia" w:ascii="宋体" w:hAnsi="宋体" w:eastAsia="宋体" w:cs="宋体"/>
          <w:bCs/>
          <w:color w:val="auto"/>
          <w:sz w:val="24"/>
          <w:szCs w:val="24"/>
        </w:rPr>
      </w:pPr>
      <w:r>
        <w:rPr>
          <w:rFonts w:hint="eastAsia" w:ascii="宋体" w:hAnsi="宋体" w:eastAsia="宋体" w:cs="宋体"/>
          <w:color w:val="auto"/>
          <w:sz w:val="24"/>
          <w:szCs w:val="24"/>
        </w:rPr>
        <w:t>(在下划线上如实填写：有或没有）</w:t>
      </w:r>
      <w:r>
        <w:rPr>
          <w:rFonts w:hint="eastAsia" w:ascii="宋体" w:hAnsi="宋体" w:eastAsia="宋体" w:cs="宋体"/>
          <w:bCs/>
          <w:color w:val="auto"/>
          <w:sz w:val="24"/>
          <w:szCs w:val="24"/>
        </w:rPr>
        <w:t>因违法经营受到刑事处罚或者责令停产停业、吊销许可证或者执照、较大数额罚款等行政处罚。</w:t>
      </w:r>
    </w:p>
    <w:p>
      <w:pPr>
        <w:spacing w:line="480" w:lineRule="exact"/>
        <w:ind w:firstLine="482"/>
        <w:rPr>
          <w:rFonts w:hint="eastAsia" w:ascii="宋体" w:hAnsi="宋体" w:eastAsia="宋体" w:cs="宋体"/>
          <w:bCs/>
          <w:color w:val="auto"/>
          <w:sz w:val="24"/>
          <w:szCs w:val="24"/>
        </w:rPr>
      </w:pPr>
      <w:r>
        <w:rPr>
          <w:rFonts w:hint="eastAsia" w:ascii="宋体" w:hAnsi="宋体" w:eastAsia="宋体" w:cs="宋体"/>
          <w:bCs/>
          <w:color w:val="auto"/>
          <w:sz w:val="24"/>
          <w:szCs w:val="24"/>
        </w:rPr>
        <w:t>在</w:t>
      </w:r>
      <w:r>
        <w:rPr>
          <w:rFonts w:hint="eastAsia" w:ascii="宋体" w:hAnsi="宋体" w:eastAsia="宋体" w:cs="宋体"/>
          <w:color w:val="auto"/>
          <w:sz w:val="24"/>
          <w:szCs w:val="24"/>
        </w:rPr>
        <w:t>投标截止时间节点，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在下划线上如实填写：有或没有）被“信用中国”（www.creditchina.gov.cn）、“中国政府采购网”（www.ccgp.gov.cn）、“信用江苏”（www.jscredit.cn/index.htm）网站列入失信被执行人、重大税收违法案件当事人名单、政府采购严重违法失信行为记录名单。</w:t>
      </w:r>
    </w:p>
    <w:p>
      <w:pPr>
        <w:spacing w:line="480" w:lineRule="exact"/>
        <w:rPr>
          <w:rFonts w:hint="eastAsia" w:ascii="宋体" w:hAnsi="宋体" w:eastAsia="宋体" w:cs="宋体"/>
          <w:color w:val="auto"/>
          <w:sz w:val="24"/>
          <w:szCs w:val="24"/>
        </w:rPr>
      </w:pPr>
    </w:p>
    <w:p>
      <w:pPr>
        <w:spacing w:line="480" w:lineRule="exact"/>
        <w:ind w:firstLine="480" w:firstLineChars="200"/>
        <w:jc w:val="right"/>
        <w:rPr>
          <w:rFonts w:hint="eastAsia" w:ascii="宋体" w:hAnsi="宋体" w:eastAsia="宋体" w:cs="宋体"/>
          <w:color w:val="auto"/>
          <w:sz w:val="24"/>
          <w:szCs w:val="24"/>
        </w:rPr>
      </w:pPr>
    </w:p>
    <w:p>
      <w:pPr>
        <w:spacing w:line="480" w:lineRule="exact"/>
        <w:ind w:firstLine="4800" w:firstLineChars="2000"/>
        <w:rPr>
          <w:rFonts w:hint="eastAsia" w:ascii="宋体" w:hAnsi="宋体" w:eastAsia="宋体" w:cs="宋体"/>
          <w:color w:val="auto"/>
          <w:sz w:val="24"/>
          <w:szCs w:val="24"/>
        </w:rPr>
      </w:pPr>
      <w:r>
        <w:rPr>
          <w:rFonts w:hint="eastAsia" w:ascii="宋体" w:hAnsi="宋体" w:eastAsia="宋体" w:cs="宋体"/>
          <w:color w:val="auto"/>
          <w:sz w:val="24"/>
          <w:szCs w:val="24"/>
        </w:rPr>
        <w:t>声明人：（公章）</w:t>
      </w:r>
    </w:p>
    <w:p>
      <w:pPr>
        <w:snapToGrid w:val="0"/>
        <w:spacing w:before="468" w:beforeLines="150" w:after="156" w:afterLines="50" w:line="480" w:lineRule="exact"/>
        <w:jc w:val="center"/>
        <w:outlineLvl w:val="4"/>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        年</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w:t>
      </w:r>
    </w:p>
    <w:p>
      <w:pPr>
        <w:snapToGrid w:val="0"/>
        <w:spacing w:line="480" w:lineRule="exact"/>
        <w:jc w:val="center"/>
        <w:outlineLvl w:val="3"/>
        <w:rPr>
          <w:rFonts w:hint="eastAsia" w:ascii="宋体" w:hAnsi="宋体" w:eastAsia="宋体" w:cs="宋体"/>
          <w:b/>
          <w:bCs/>
          <w:color w:val="auto"/>
          <w:sz w:val="24"/>
          <w:szCs w:val="24"/>
        </w:rPr>
      </w:pPr>
    </w:p>
    <w:p>
      <w:pPr>
        <w:snapToGrid w:val="0"/>
        <w:spacing w:line="480" w:lineRule="exact"/>
        <w:jc w:val="center"/>
        <w:outlineLvl w:val="3"/>
        <w:rPr>
          <w:rFonts w:hint="eastAsia" w:ascii="宋体" w:hAnsi="宋体" w:eastAsia="宋体" w:cs="宋体"/>
          <w:b/>
          <w:bCs/>
          <w:color w:val="auto"/>
          <w:sz w:val="24"/>
          <w:szCs w:val="24"/>
        </w:rPr>
      </w:pPr>
    </w:p>
    <w:p>
      <w:pPr>
        <w:snapToGrid w:val="0"/>
        <w:spacing w:line="480" w:lineRule="exact"/>
        <w:jc w:val="center"/>
        <w:outlineLvl w:val="3"/>
        <w:rPr>
          <w:rFonts w:hint="eastAsia" w:ascii="宋体" w:hAnsi="宋体" w:eastAsia="宋体" w:cs="宋体"/>
          <w:b/>
          <w:bCs/>
          <w:color w:val="auto"/>
          <w:sz w:val="24"/>
          <w:szCs w:val="24"/>
        </w:rPr>
      </w:pPr>
    </w:p>
    <w:p>
      <w:pPr>
        <w:spacing w:line="480" w:lineRule="exact"/>
        <w:rPr>
          <w:rFonts w:hint="eastAsia" w:ascii="宋体" w:hAnsi="宋体" w:eastAsia="宋体" w:cs="宋体"/>
          <w:b/>
          <w:bCs/>
          <w:color w:val="auto"/>
          <w:sz w:val="24"/>
          <w:szCs w:val="24"/>
        </w:rPr>
      </w:pPr>
    </w:p>
    <w:p>
      <w:pPr>
        <w:snapToGrid w:val="0"/>
        <w:spacing w:line="480" w:lineRule="exact"/>
        <w:jc w:val="center"/>
        <w:outlineLvl w:val="4"/>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5.竞争性磋商响应函（格式不得变动）</w:t>
      </w:r>
    </w:p>
    <w:p>
      <w:pPr>
        <w:snapToGrid w:val="0"/>
        <w:spacing w:line="480" w:lineRule="exact"/>
        <w:rPr>
          <w:rFonts w:hint="eastAsia" w:ascii="宋体" w:hAnsi="宋体" w:eastAsia="宋体" w:cs="宋体"/>
          <w:color w:val="auto"/>
          <w:sz w:val="24"/>
          <w:szCs w:val="24"/>
          <w:u w:val="single"/>
        </w:rPr>
      </w:pPr>
    </w:p>
    <w:p>
      <w:pPr>
        <w:snapToGrid w:val="0"/>
        <w:spacing w:line="480" w:lineRule="exact"/>
        <w:rPr>
          <w:rFonts w:hint="eastAsia" w:ascii="宋体" w:hAnsi="宋体" w:eastAsia="宋体" w:cs="宋体"/>
          <w:color w:val="auto"/>
          <w:sz w:val="24"/>
          <w:szCs w:val="24"/>
          <w:u w:val="single"/>
        </w:rPr>
      </w:pPr>
      <w:r>
        <w:rPr>
          <w:rFonts w:hint="eastAsia" w:ascii="宋体" w:hAnsi="宋体" w:cs="宋体"/>
          <w:color w:val="auto"/>
          <w:sz w:val="24"/>
          <w:szCs w:val="24"/>
          <w:u w:val="single"/>
          <w:lang w:eastAsia="zh-CN"/>
        </w:rPr>
        <w:t>启东市汇龙镇人民政府</w:t>
      </w:r>
      <w:r>
        <w:rPr>
          <w:rFonts w:hint="eastAsia" w:ascii="宋体" w:hAnsi="宋体" w:eastAsia="宋体" w:cs="宋体"/>
          <w:color w:val="auto"/>
          <w:sz w:val="24"/>
          <w:szCs w:val="24"/>
          <w:u w:val="single"/>
        </w:rPr>
        <w:t>：</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依据贵单位委托代理机构组织的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（磋商项目名称及项目编号)项目竞争性磋商的邀请，我方授权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（职务）为全权代表参加该项目的磋商工作，全权处理本次竞争性磋商的有关事宜。同时，我公司声明如下：</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1、同意并接受竞争性磋商文件的各项要求，遵守竞争性磋商文件中的各项规定，按竞争性磋商文件的要求提供报价。</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3、我公司已毫无保留地向贵方提供一切所需的证明材料。</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4、我公司承诺在本次磋商响应中提供的一切文件，无论是原件还是复印件均真实有效，绝无任何虚假、伪造和夸大的成份。否则，愿承担相应的后果和法律责任。</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5、一旦成交，我方承诺无正当理由拒绝签订合同，将被贵方取消成交资格。</w:t>
      </w:r>
    </w:p>
    <w:p>
      <w:pPr>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b/>
          <w:bCs/>
          <w:color w:val="auto"/>
          <w:sz w:val="24"/>
          <w:szCs w:val="24"/>
        </w:rPr>
        <w:t>一旦成交，我方将根据竞争性磋商文件的规定，严格履行合同规定的责任和义务，并保证在竞争性磋商文件中规定的时间期限内完成合同项目。</w:t>
      </w:r>
    </w:p>
    <w:p>
      <w:pPr>
        <w:snapToGrid w:val="0"/>
        <w:spacing w:line="480" w:lineRule="exact"/>
        <w:ind w:firstLine="480" w:firstLineChars="200"/>
        <w:rPr>
          <w:rFonts w:hint="eastAsia" w:ascii="宋体" w:hAnsi="宋体" w:eastAsia="宋体" w:cs="宋体"/>
          <w:color w:val="auto"/>
          <w:sz w:val="24"/>
          <w:szCs w:val="24"/>
        </w:rPr>
      </w:pPr>
    </w:p>
    <w:p>
      <w:pPr>
        <w:snapToGrid w:val="0"/>
        <w:spacing w:line="48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竞争性磋商响应单位：（加盖公章）</w:t>
      </w:r>
    </w:p>
    <w:p>
      <w:pPr>
        <w:snapToGrid w:val="0"/>
        <w:spacing w:line="480" w:lineRule="exact"/>
        <w:ind w:firstLine="2400" w:firstLineChars="1000"/>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法定代表人或被授权人：（签字或盖章）</w:t>
      </w:r>
    </w:p>
    <w:p>
      <w:pPr>
        <w:snapToGrid w:val="0"/>
        <w:spacing w:line="48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pPr>
        <w:snapToGrid w:val="0"/>
        <w:spacing w:line="480" w:lineRule="exact"/>
        <w:jc w:val="center"/>
        <w:outlineLvl w:val="3"/>
        <w:rPr>
          <w:rFonts w:hint="eastAsia" w:ascii="宋体" w:hAnsi="宋体" w:eastAsia="宋体" w:cs="宋体"/>
          <w:b/>
          <w:bCs/>
          <w:color w:val="auto"/>
          <w:sz w:val="24"/>
          <w:szCs w:val="24"/>
        </w:rPr>
      </w:pPr>
    </w:p>
    <w:p>
      <w:pPr>
        <w:snapToGrid w:val="0"/>
        <w:spacing w:line="480" w:lineRule="exact"/>
        <w:jc w:val="center"/>
        <w:outlineLvl w:val="3"/>
        <w:rPr>
          <w:rFonts w:hint="eastAsia" w:ascii="宋体" w:hAnsi="宋体" w:eastAsia="宋体" w:cs="宋体"/>
          <w:b/>
          <w:bCs/>
          <w:color w:val="auto"/>
          <w:sz w:val="24"/>
          <w:szCs w:val="24"/>
        </w:rPr>
      </w:pPr>
    </w:p>
    <w:p>
      <w:pPr>
        <w:spacing w:line="480" w:lineRule="exact"/>
        <w:ind w:left="720" w:firstLine="2643" w:firstLineChars="1100"/>
        <w:rPr>
          <w:rFonts w:hint="eastAsia" w:ascii="宋体" w:hAnsi="宋体" w:eastAsia="宋体" w:cs="宋体"/>
          <w:b/>
          <w:bCs/>
          <w:color w:val="auto"/>
          <w:sz w:val="24"/>
          <w:szCs w:val="24"/>
        </w:rPr>
      </w:pPr>
      <w:bookmarkStart w:id="78" w:name="_Toc425960671"/>
      <w:r>
        <w:rPr>
          <w:rFonts w:hint="eastAsia" w:ascii="宋体" w:hAnsi="宋体" w:eastAsia="宋体" w:cs="宋体"/>
          <w:b/>
          <w:bCs/>
          <w:color w:val="auto"/>
          <w:sz w:val="24"/>
          <w:szCs w:val="24"/>
        </w:rPr>
        <w:br w:type="page"/>
      </w:r>
      <w:bookmarkEnd w:id="78"/>
    </w:p>
    <w:p>
      <w:pPr>
        <w:spacing w:line="480" w:lineRule="exact"/>
        <w:ind w:firstLine="480" w:firstLineChars="20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6. 技术部分正负偏离表</w:t>
      </w:r>
    </w:p>
    <w:p>
      <w:pPr>
        <w:spacing w:line="480" w:lineRule="exact"/>
        <w:ind w:firstLine="480" w:firstLineChars="200"/>
        <w:jc w:val="center"/>
        <w:rPr>
          <w:rFonts w:hint="eastAsia" w:ascii="宋体" w:hAnsi="宋体" w:eastAsia="宋体" w:cs="宋体"/>
          <w:color w:val="auto"/>
          <w:sz w:val="24"/>
          <w:szCs w:val="24"/>
        </w:rPr>
      </w:pPr>
      <w:r>
        <w:rPr>
          <w:rFonts w:hint="eastAsia" w:ascii="宋体" w:hAnsi="宋体" w:eastAsia="宋体" w:cs="宋体"/>
          <w:bCs/>
          <w:color w:val="auto"/>
          <w:sz w:val="24"/>
          <w:szCs w:val="24"/>
        </w:rPr>
        <w:t>（由供应商据实填写，表格不够自行添加）</w:t>
      </w:r>
    </w:p>
    <w:tbl>
      <w:tblPr>
        <w:tblStyle w:val="5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
        <w:gridCol w:w="2472"/>
        <w:gridCol w:w="2157"/>
        <w:gridCol w:w="2785"/>
        <w:gridCol w:w="15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94" w:hRule="atLeast"/>
        </w:trPr>
        <w:tc>
          <w:tcPr>
            <w:tcW w:w="844" w:type="dxa"/>
            <w:tcBorders>
              <w:top w:val="single" w:color="auto" w:sz="12" w:space="0"/>
              <w:left w:val="single" w:color="auto" w:sz="12"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01" w:type="dxa"/>
            <w:tcBorders>
              <w:top w:val="single" w:color="auto" w:sz="12"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货物或服务名称</w:t>
            </w:r>
          </w:p>
        </w:tc>
        <w:tc>
          <w:tcPr>
            <w:tcW w:w="2009" w:type="dxa"/>
            <w:tcBorders>
              <w:top w:val="single" w:color="auto" w:sz="12"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磋商文件要求的技术要求</w:t>
            </w:r>
          </w:p>
        </w:tc>
        <w:tc>
          <w:tcPr>
            <w:tcW w:w="2593" w:type="dxa"/>
            <w:tcBorders>
              <w:top w:val="single" w:color="auto" w:sz="12"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响应文件响应情况</w:t>
            </w:r>
          </w:p>
        </w:tc>
        <w:tc>
          <w:tcPr>
            <w:tcW w:w="1427" w:type="dxa"/>
            <w:tcBorders>
              <w:top w:val="single" w:color="auto" w:sz="12" w:space="0"/>
              <w:left w:val="single" w:color="auto" w:sz="6" w:space="0"/>
              <w:bottom w:val="single" w:color="auto" w:sz="6" w:space="0"/>
              <w:right w:val="single" w:color="auto" w:sz="12" w:space="0"/>
            </w:tcBorders>
            <w:noWrap w:val="0"/>
            <w:vAlign w:val="top"/>
          </w:tcPr>
          <w:p>
            <w:pPr>
              <w:spacing w:line="480" w:lineRule="exact"/>
              <w:jc w:val="center"/>
              <w:rPr>
                <w:rFonts w:hint="eastAsia" w:ascii="宋体" w:hAnsi="宋体" w:eastAsia="宋体" w:cs="宋体"/>
                <w:color w:val="auto"/>
                <w:sz w:val="24"/>
                <w:szCs w:val="24"/>
              </w:rPr>
            </w:pPr>
          </w:p>
          <w:p>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4" w:hRule="atLeast"/>
        </w:trPr>
        <w:tc>
          <w:tcPr>
            <w:tcW w:w="844" w:type="dxa"/>
            <w:tcBorders>
              <w:top w:val="single" w:color="auto" w:sz="6" w:space="0"/>
              <w:left w:val="single" w:color="auto" w:sz="12" w:space="0"/>
              <w:bottom w:val="single" w:color="auto" w:sz="6" w:space="0"/>
              <w:right w:val="single" w:color="auto" w:sz="6" w:space="0"/>
            </w:tcBorders>
            <w:noWrap w:val="0"/>
            <w:vAlign w:val="top"/>
          </w:tcPr>
          <w:p>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01"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2009"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259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1427" w:type="dxa"/>
            <w:tcBorders>
              <w:top w:val="single" w:color="auto" w:sz="6" w:space="0"/>
              <w:left w:val="single" w:color="auto" w:sz="6" w:space="0"/>
              <w:bottom w:val="single" w:color="auto" w:sz="6" w:space="0"/>
              <w:right w:val="single" w:color="auto" w:sz="12" w:space="0"/>
            </w:tcBorders>
            <w:noWrap w:val="0"/>
            <w:vAlign w:val="top"/>
          </w:tcPr>
          <w:p>
            <w:pPr>
              <w:spacing w:line="480" w:lineRule="exact"/>
              <w:jc w:val="left"/>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8" w:hRule="atLeast"/>
        </w:trPr>
        <w:tc>
          <w:tcPr>
            <w:tcW w:w="844" w:type="dxa"/>
            <w:tcBorders>
              <w:top w:val="single" w:color="auto" w:sz="6" w:space="0"/>
              <w:left w:val="single" w:color="auto" w:sz="12" w:space="0"/>
              <w:bottom w:val="single" w:color="auto" w:sz="6" w:space="0"/>
              <w:right w:val="single" w:color="auto" w:sz="6" w:space="0"/>
            </w:tcBorders>
            <w:noWrap w:val="0"/>
            <w:vAlign w:val="top"/>
          </w:tcPr>
          <w:p>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01"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2009"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259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1427" w:type="dxa"/>
            <w:tcBorders>
              <w:top w:val="single" w:color="auto" w:sz="6" w:space="0"/>
              <w:left w:val="single" w:color="auto" w:sz="6" w:space="0"/>
              <w:bottom w:val="single" w:color="auto" w:sz="6" w:space="0"/>
              <w:right w:val="single" w:color="auto" w:sz="12" w:space="0"/>
            </w:tcBorders>
            <w:noWrap w:val="0"/>
            <w:vAlign w:val="top"/>
          </w:tcPr>
          <w:p>
            <w:pPr>
              <w:spacing w:line="480" w:lineRule="exact"/>
              <w:jc w:val="left"/>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00" w:hRule="atLeast"/>
        </w:trPr>
        <w:tc>
          <w:tcPr>
            <w:tcW w:w="844" w:type="dxa"/>
            <w:tcBorders>
              <w:top w:val="single" w:color="auto" w:sz="6" w:space="0"/>
              <w:left w:val="single" w:color="auto" w:sz="12" w:space="0"/>
              <w:bottom w:val="single" w:color="auto" w:sz="6" w:space="0"/>
              <w:right w:val="single" w:color="auto" w:sz="6" w:space="0"/>
            </w:tcBorders>
            <w:noWrap w:val="0"/>
            <w:vAlign w:val="top"/>
          </w:tcPr>
          <w:p>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301"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2009"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259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1427" w:type="dxa"/>
            <w:tcBorders>
              <w:top w:val="single" w:color="auto" w:sz="6" w:space="0"/>
              <w:left w:val="single" w:color="auto" w:sz="6" w:space="0"/>
              <w:bottom w:val="single" w:color="auto" w:sz="6" w:space="0"/>
              <w:right w:val="single" w:color="auto" w:sz="12" w:space="0"/>
            </w:tcBorders>
            <w:noWrap w:val="0"/>
            <w:vAlign w:val="top"/>
          </w:tcPr>
          <w:p>
            <w:pPr>
              <w:spacing w:line="480" w:lineRule="exact"/>
              <w:jc w:val="left"/>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9" w:hRule="atLeast"/>
        </w:trPr>
        <w:tc>
          <w:tcPr>
            <w:tcW w:w="844" w:type="dxa"/>
            <w:tcBorders>
              <w:top w:val="single" w:color="auto" w:sz="6" w:space="0"/>
              <w:left w:val="single" w:color="auto" w:sz="12" w:space="0"/>
              <w:bottom w:val="single" w:color="auto" w:sz="6" w:space="0"/>
              <w:right w:val="single" w:color="auto" w:sz="6" w:space="0"/>
            </w:tcBorders>
            <w:noWrap w:val="0"/>
            <w:vAlign w:val="top"/>
          </w:tcPr>
          <w:p>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301"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2009"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259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1427" w:type="dxa"/>
            <w:tcBorders>
              <w:top w:val="single" w:color="auto" w:sz="6" w:space="0"/>
              <w:left w:val="single" w:color="auto" w:sz="6" w:space="0"/>
              <w:bottom w:val="single" w:color="auto" w:sz="6" w:space="0"/>
              <w:right w:val="single" w:color="auto" w:sz="12" w:space="0"/>
            </w:tcBorders>
            <w:noWrap w:val="0"/>
            <w:vAlign w:val="top"/>
          </w:tcPr>
          <w:p>
            <w:pPr>
              <w:spacing w:line="480" w:lineRule="exact"/>
              <w:jc w:val="left"/>
              <w:rPr>
                <w:rFonts w:hint="eastAsia" w:ascii="宋体" w:hAnsi="宋体" w:eastAsia="宋体" w:cs="宋体"/>
                <w:color w:val="auto"/>
                <w:sz w:val="24"/>
                <w:szCs w:val="24"/>
              </w:rPr>
            </w:pPr>
          </w:p>
        </w:tc>
      </w:tr>
    </w:tbl>
    <w:p>
      <w:pPr>
        <w:snapToGrid w:val="0"/>
        <w:spacing w:line="480" w:lineRule="exact"/>
        <w:contextualSpacing/>
        <w:rPr>
          <w:rFonts w:hint="eastAsia" w:ascii="宋体" w:hAnsi="宋体" w:eastAsia="宋体" w:cs="宋体"/>
          <w:b/>
          <w:color w:val="auto"/>
          <w:sz w:val="24"/>
          <w:szCs w:val="24"/>
        </w:rPr>
      </w:pPr>
      <w:r>
        <w:rPr>
          <w:rFonts w:hint="eastAsia" w:ascii="宋体" w:hAnsi="宋体" w:eastAsia="宋体" w:cs="宋体"/>
          <w:b/>
          <w:color w:val="auto"/>
          <w:sz w:val="24"/>
          <w:szCs w:val="24"/>
        </w:rPr>
        <w:t>注：</w:t>
      </w:r>
    </w:p>
    <w:p>
      <w:pPr>
        <w:snapToGrid w:val="0"/>
        <w:spacing w:line="480" w:lineRule="exact"/>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1.供应商提交的响应文件中与磋商文件第三章“项目需求”，应逐条填列在偏离表中。如完全响应，可空表列示。</w:t>
      </w:r>
    </w:p>
    <w:p>
      <w:pPr>
        <w:snapToGrid w:val="0"/>
        <w:spacing w:line="480" w:lineRule="exact"/>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 “偏离说明”一栏选择“正偏离”、“无偏离”、“负偏离”进行填写。正偏离、无偏离的确认和负偏离的是否响应招磋商文件，由评委认定。</w:t>
      </w:r>
    </w:p>
    <w:p>
      <w:pPr>
        <w:snapToGrid w:val="0"/>
        <w:spacing w:line="480" w:lineRule="exact"/>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3.供应商如果虚假响应，将被暂停参加采购人组织的采购活动。</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4.供应商若提供其他增值服务，可以在表中自行据实填写。</w:t>
      </w:r>
    </w:p>
    <w:p>
      <w:pPr>
        <w:spacing w:line="480" w:lineRule="exact"/>
        <w:jc w:val="center"/>
        <w:rPr>
          <w:rFonts w:hint="eastAsia" w:ascii="宋体" w:hAnsi="宋体" w:eastAsia="宋体" w:cs="宋体"/>
          <w:color w:val="auto"/>
          <w:sz w:val="24"/>
          <w:szCs w:val="24"/>
        </w:rPr>
      </w:pP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7．商务部分正负偏离表</w:t>
      </w:r>
    </w:p>
    <w:p>
      <w:pPr>
        <w:spacing w:line="480" w:lineRule="exact"/>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（由</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据实填写，表格不够自行添加）</w:t>
      </w:r>
    </w:p>
    <w:tbl>
      <w:tblPr>
        <w:tblStyle w:val="5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
        <w:gridCol w:w="2472"/>
        <w:gridCol w:w="2157"/>
        <w:gridCol w:w="2785"/>
        <w:gridCol w:w="15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94" w:hRule="atLeast"/>
        </w:trPr>
        <w:tc>
          <w:tcPr>
            <w:tcW w:w="844" w:type="dxa"/>
            <w:tcBorders>
              <w:top w:val="single" w:color="auto" w:sz="12" w:space="0"/>
              <w:left w:val="single" w:color="auto" w:sz="12"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01" w:type="dxa"/>
            <w:tcBorders>
              <w:top w:val="single" w:color="auto" w:sz="12"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货物或服务名称</w:t>
            </w:r>
          </w:p>
        </w:tc>
        <w:tc>
          <w:tcPr>
            <w:tcW w:w="2009" w:type="dxa"/>
            <w:tcBorders>
              <w:top w:val="single" w:color="auto" w:sz="12"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磋商文件要求的商务要求</w:t>
            </w:r>
          </w:p>
        </w:tc>
        <w:tc>
          <w:tcPr>
            <w:tcW w:w="2593" w:type="dxa"/>
            <w:tcBorders>
              <w:top w:val="single" w:color="auto" w:sz="12"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响应文件响应情况</w:t>
            </w:r>
          </w:p>
        </w:tc>
        <w:tc>
          <w:tcPr>
            <w:tcW w:w="1427" w:type="dxa"/>
            <w:tcBorders>
              <w:top w:val="single" w:color="auto" w:sz="12" w:space="0"/>
              <w:left w:val="single" w:color="auto" w:sz="6" w:space="0"/>
              <w:bottom w:val="single" w:color="auto" w:sz="6" w:space="0"/>
              <w:right w:val="single" w:color="auto" w:sz="12" w:space="0"/>
            </w:tcBorders>
            <w:noWrap w:val="0"/>
            <w:vAlign w:val="top"/>
          </w:tcPr>
          <w:p>
            <w:pPr>
              <w:spacing w:line="480" w:lineRule="exact"/>
              <w:jc w:val="center"/>
              <w:rPr>
                <w:rFonts w:hint="eastAsia" w:ascii="宋体" w:hAnsi="宋体" w:eastAsia="宋体" w:cs="宋体"/>
                <w:color w:val="auto"/>
                <w:sz w:val="24"/>
                <w:szCs w:val="24"/>
              </w:rPr>
            </w:pPr>
          </w:p>
          <w:p>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4" w:hRule="atLeast"/>
        </w:trPr>
        <w:tc>
          <w:tcPr>
            <w:tcW w:w="844" w:type="dxa"/>
            <w:tcBorders>
              <w:top w:val="single" w:color="auto" w:sz="6" w:space="0"/>
              <w:left w:val="single" w:color="auto" w:sz="12" w:space="0"/>
              <w:bottom w:val="single" w:color="auto" w:sz="6" w:space="0"/>
              <w:right w:val="single" w:color="auto" w:sz="6" w:space="0"/>
            </w:tcBorders>
            <w:noWrap w:val="0"/>
            <w:vAlign w:val="top"/>
          </w:tcPr>
          <w:p>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01"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2009"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259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1427" w:type="dxa"/>
            <w:tcBorders>
              <w:top w:val="single" w:color="auto" w:sz="6" w:space="0"/>
              <w:left w:val="single" w:color="auto" w:sz="6" w:space="0"/>
              <w:bottom w:val="single" w:color="auto" w:sz="6" w:space="0"/>
              <w:right w:val="single" w:color="auto" w:sz="12" w:space="0"/>
            </w:tcBorders>
            <w:noWrap w:val="0"/>
            <w:vAlign w:val="top"/>
          </w:tcPr>
          <w:p>
            <w:pPr>
              <w:spacing w:line="480" w:lineRule="exact"/>
              <w:jc w:val="left"/>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8" w:hRule="atLeast"/>
        </w:trPr>
        <w:tc>
          <w:tcPr>
            <w:tcW w:w="844" w:type="dxa"/>
            <w:tcBorders>
              <w:top w:val="single" w:color="auto" w:sz="6" w:space="0"/>
              <w:left w:val="single" w:color="auto" w:sz="12" w:space="0"/>
              <w:bottom w:val="single" w:color="auto" w:sz="6" w:space="0"/>
              <w:right w:val="single" w:color="auto" w:sz="6" w:space="0"/>
            </w:tcBorders>
            <w:noWrap w:val="0"/>
            <w:vAlign w:val="top"/>
          </w:tcPr>
          <w:p>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01"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2009"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259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1427" w:type="dxa"/>
            <w:tcBorders>
              <w:top w:val="single" w:color="auto" w:sz="6" w:space="0"/>
              <w:left w:val="single" w:color="auto" w:sz="6" w:space="0"/>
              <w:bottom w:val="single" w:color="auto" w:sz="6" w:space="0"/>
              <w:right w:val="single" w:color="auto" w:sz="12" w:space="0"/>
            </w:tcBorders>
            <w:noWrap w:val="0"/>
            <w:vAlign w:val="top"/>
          </w:tcPr>
          <w:p>
            <w:pPr>
              <w:spacing w:line="480" w:lineRule="exact"/>
              <w:jc w:val="left"/>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00" w:hRule="atLeast"/>
        </w:trPr>
        <w:tc>
          <w:tcPr>
            <w:tcW w:w="844" w:type="dxa"/>
            <w:tcBorders>
              <w:top w:val="single" w:color="auto" w:sz="6" w:space="0"/>
              <w:left w:val="single" w:color="auto" w:sz="12" w:space="0"/>
              <w:bottom w:val="single" w:color="auto" w:sz="6" w:space="0"/>
              <w:right w:val="single" w:color="auto" w:sz="6" w:space="0"/>
            </w:tcBorders>
            <w:noWrap w:val="0"/>
            <w:vAlign w:val="top"/>
          </w:tcPr>
          <w:p>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301"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2009"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259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1427" w:type="dxa"/>
            <w:tcBorders>
              <w:top w:val="single" w:color="auto" w:sz="6" w:space="0"/>
              <w:left w:val="single" w:color="auto" w:sz="6" w:space="0"/>
              <w:bottom w:val="single" w:color="auto" w:sz="6" w:space="0"/>
              <w:right w:val="single" w:color="auto" w:sz="12" w:space="0"/>
            </w:tcBorders>
            <w:noWrap w:val="0"/>
            <w:vAlign w:val="top"/>
          </w:tcPr>
          <w:p>
            <w:pPr>
              <w:spacing w:line="480" w:lineRule="exact"/>
              <w:jc w:val="left"/>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9" w:hRule="atLeast"/>
        </w:trPr>
        <w:tc>
          <w:tcPr>
            <w:tcW w:w="844" w:type="dxa"/>
            <w:tcBorders>
              <w:top w:val="single" w:color="auto" w:sz="6" w:space="0"/>
              <w:left w:val="single" w:color="auto" w:sz="12" w:space="0"/>
              <w:bottom w:val="single" w:color="auto" w:sz="6" w:space="0"/>
              <w:right w:val="single" w:color="auto" w:sz="6" w:space="0"/>
            </w:tcBorders>
            <w:noWrap w:val="0"/>
            <w:vAlign w:val="top"/>
          </w:tcPr>
          <w:p>
            <w:pPr>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301"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2009"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259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left"/>
              <w:rPr>
                <w:rFonts w:hint="eastAsia" w:ascii="宋体" w:hAnsi="宋体" w:eastAsia="宋体" w:cs="宋体"/>
                <w:color w:val="auto"/>
                <w:sz w:val="24"/>
                <w:szCs w:val="24"/>
              </w:rPr>
            </w:pPr>
          </w:p>
        </w:tc>
        <w:tc>
          <w:tcPr>
            <w:tcW w:w="1427" w:type="dxa"/>
            <w:tcBorders>
              <w:top w:val="single" w:color="auto" w:sz="6" w:space="0"/>
              <w:left w:val="single" w:color="auto" w:sz="6" w:space="0"/>
              <w:bottom w:val="single" w:color="auto" w:sz="6" w:space="0"/>
              <w:right w:val="single" w:color="auto" w:sz="12" w:space="0"/>
            </w:tcBorders>
            <w:noWrap w:val="0"/>
            <w:vAlign w:val="top"/>
          </w:tcPr>
          <w:p>
            <w:pPr>
              <w:spacing w:line="480" w:lineRule="exact"/>
              <w:jc w:val="left"/>
              <w:rPr>
                <w:rFonts w:hint="eastAsia" w:ascii="宋体" w:hAnsi="宋体" w:eastAsia="宋体" w:cs="宋体"/>
                <w:color w:val="auto"/>
                <w:sz w:val="24"/>
                <w:szCs w:val="24"/>
              </w:rPr>
            </w:pPr>
          </w:p>
        </w:tc>
      </w:tr>
    </w:tbl>
    <w:p>
      <w:pPr>
        <w:snapToGrid w:val="0"/>
        <w:spacing w:line="480" w:lineRule="exact"/>
        <w:contextualSpacing/>
        <w:rPr>
          <w:rFonts w:hint="eastAsia" w:ascii="宋体" w:hAnsi="宋体" w:eastAsia="宋体" w:cs="宋体"/>
          <w:b/>
          <w:color w:val="auto"/>
          <w:sz w:val="24"/>
          <w:szCs w:val="24"/>
        </w:rPr>
      </w:pPr>
      <w:r>
        <w:rPr>
          <w:rFonts w:hint="eastAsia" w:ascii="宋体" w:hAnsi="宋体" w:eastAsia="宋体" w:cs="宋体"/>
          <w:b/>
          <w:color w:val="auto"/>
          <w:sz w:val="24"/>
          <w:szCs w:val="24"/>
        </w:rPr>
        <w:t>注：</w:t>
      </w:r>
    </w:p>
    <w:p>
      <w:pPr>
        <w:snapToGrid w:val="0"/>
        <w:spacing w:line="480" w:lineRule="exact"/>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1.供应商提交的响应文件中与磋商文件第三章“项目需求”，应逐条填列在偏离表中。如完全响应，可空表列示。</w:t>
      </w:r>
    </w:p>
    <w:p>
      <w:pPr>
        <w:snapToGrid w:val="0"/>
        <w:spacing w:line="480" w:lineRule="exact"/>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 “偏离说明”一栏选择“正偏离”、“无偏离”、“负偏离”进行填写。正偏离、无偏离的确认和负偏离的是否响应招磋商文件，由评委认定。</w:t>
      </w:r>
    </w:p>
    <w:p>
      <w:pPr>
        <w:snapToGrid w:val="0"/>
        <w:spacing w:line="480" w:lineRule="exact"/>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3.供应商如果虚假响应，将被暂停参加采购人组织的采购活动。</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4.供应商若提供其他增值服务，可以在表中自行据实填写。</w:t>
      </w:r>
    </w:p>
    <w:p>
      <w:pPr>
        <w:snapToGrid w:val="0"/>
        <w:spacing w:line="480" w:lineRule="exact"/>
        <w:jc w:val="right"/>
        <w:rPr>
          <w:rFonts w:hint="eastAsia" w:ascii="宋体" w:hAnsi="宋体" w:eastAsia="宋体" w:cs="宋体"/>
          <w:color w:val="auto"/>
          <w:sz w:val="24"/>
          <w:szCs w:val="24"/>
        </w:rPr>
      </w:pPr>
    </w:p>
    <w:p>
      <w:pPr>
        <w:snapToGrid w:val="0"/>
        <w:spacing w:line="480" w:lineRule="exact"/>
        <w:jc w:val="center"/>
        <w:outlineLvl w:val="2"/>
        <w:rPr>
          <w:rFonts w:hint="eastAsia" w:ascii="宋体" w:hAnsi="宋体" w:eastAsia="宋体" w:cs="宋体"/>
          <w:color w:val="auto"/>
          <w:sz w:val="24"/>
          <w:szCs w:val="24"/>
        </w:rPr>
      </w:pPr>
    </w:p>
    <w:p>
      <w:pPr>
        <w:widowControl/>
        <w:spacing w:line="480" w:lineRule="exact"/>
        <w:jc w:val="center"/>
        <w:rPr>
          <w:rFonts w:hint="eastAsia" w:ascii="宋体" w:hAnsi="宋体" w:eastAsia="宋体" w:cs="宋体"/>
          <w:b/>
          <w:bCs/>
          <w:color w:val="auto"/>
          <w:sz w:val="24"/>
          <w:szCs w:val="24"/>
        </w:rPr>
      </w:pPr>
    </w:p>
    <w:p>
      <w:pPr>
        <w:widowControl/>
        <w:spacing w:line="480" w:lineRule="exact"/>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keepNext w:val="0"/>
        <w:keepLines w:val="0"/>
        <w:pageBreakBefore w:val="0"/>
        <w:widowControl w:val="0"/>
        <w:numPr>
          <w:ilvl w:val="0"/>
          <w:numId w:val="6"/>
        </w:numPr>
        <w:kinsoku/>
        <w:wordWrap/>
        <w:overflowPunct/>
        <w:topLinePunct w:val="0"/>
        <w:autoSpaceDE/>
        <w:autoSpaceDN/>
        <w:bidi w:val="0"/>
        <w:adjustRightInd/>
        <w:snapToGrid w:val="0"/>
        <w:spacing w:line="480" w:lineRule="exact"/>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磋商响应报价表（首次）</w:t>
      </w:r>
    </w:p>
    <w:tbl>
      <w:tblPr>
        <w:tblStyle w:val="53"/>
        <w:tblW w:w="10679" w:type="dxa"/>
        <w:tblInd w:w="-1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7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2840" w:type="dxa"/>
            <w:vAlign w:val="center"/>
          </w:tcPr>
          <w:p>
            <w:pPr>
              <w:kinsoku w:val="0"/>
              <w:topLinePunct/>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839" w:type="dxa"/>
            <w:vAlign w:val="center"/>
          </w:tcPr>
          <w:p>
            <w:pPr>
              <w:kinsoku w:val="0"/>
              <w:topLinePunct/>
              <w:snapToGrid w:val="0"/>
              <w:spacing w:line="480" w:lineRule="exact"/>
              <w:rPr>
                <w:rFonts w:hint="eastAsia" w:ascii="宋体" w:hAnsi="宋体" w:eastAsia="宋体" w:cs="宋体"/>
                <w:strike/>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2840" w:type="dxa"/>
            <w:vAlign w:val="center"/>
          </w:tcPr>
          <w:p>
            <w:pPr>
              <w:kinsoku w:val="0"/>
              <w:topLinePunct/>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839" w:type="dxa"/>
            <w:vAlign w:val="center"/>
          </w:tcPr>
          <w:p>
            <w:pPr>
              <w:kinsoku w:val="0"/>
              <w:topLinePunct/>
              <w:snapToGrid w:val="0"/>
              <w:spacing w:line="48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2840" w:type="dxa"/>
            <w:vAlign w:val="center"/>
          </w:tcPr>
          <w:p>
            <w:pPr>
              <w:kinsoku w:val="0"/>
              <w:topLinePunct/>
              <w:snapToGrid w:val="0"/>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单价</w:t>
            </w:r>
          </w:p>
        </w:tc>
        <w:tc>
          <w:tcPr>
            <w:tcW w:w="7839" w:type="dxa"/>
            <w:vAlign w:val="center"/>
          </w:tcPr>
          <w:p>
            <w:pPr>
              <w:kinsoku w:val="0"/>
              <w:topLinePunct/>
              <w:snapToGrid w:val="0"/>
              <w:spacing w:line="480" w:lineRule="exact"/>
              <w:ind w:firstLine="0"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u w:val="single"/>
                <w:lang w:val="en-US" w:eastAsia="zh-CN"/>
              </w:rPr>
              <w:t xml:space="preserve">      元/家•次</w:t>
            </w:r>
          </w:p>
        </w:tc>
      </w:tr>
    </w:tbl>
    <w:p>
      <w:pPr>
        <w:kinsoku w:val="0"/>
        <w:topLinePunct/>
        <w:snapToGrid w:val="0"/>
        <w:spacing w:line="480" w:lineRule="exact"/>
        <w:rPr>
          <w:rFonts w:hint="eastAsia" w:ascii="宋体" w:hAnsi="宋体" w:eastAsia="宋体" w:cs="宋体"/>
          <w:color w:val="auto"/>
          <w:sz w:val="24"/>
          <w:highlight w:val="none"/>
        </w:rPr>
      </w:pPr>
    </w:p>
    <w:p>
      <w:pPr>
        <w:kinsoku w:val="0"/>
        <w:topLinePunct/>
        <w:snapToGrid w:val="0"/>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响应供应商</w:t>
      </w:r>
      <w:r>
        <w:rPr>
          <w:rFonts w:hint="eastAsia" w:ascii="宋体" w:hAnsi="宋体" w:eastAsia="宋体" w:cs="宋体"/>
          <w:color w:val="auto"/>
          <w:sz w:val="24"/>
          <w:highlight w:val="none"/>
        </w:rPr>
        <w:t xml:space="preserve">：（盖章）             </w:t>
      </w:r>
    </w:p>
    <w:p>
      <w:pPr>
        <w:kinsoku w:val="0"/>
        <w:topLinePunct/>
        <w:snapToGrid w:val="0"/>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法定代表人或被授权人（签字或盖章）：</w:t>
      </w:r>
    </w:p>
    <w:p>
      <w:pPr>
        <w:kinsoku w:val="0"/>
        <w:topLinePunct/>
        <w:snapToGrid w:val="0"/>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napToGrid w:val="0"/>
        <w:spacing w:line="480" w:lineRule="exact"/>
        <w:ind w:firstLine="495" w:firstLineChars="206"/>
        <w:rPr>
          <w:rFonts w:hint="eastAsia" w:ascii="宋体" w:hAnsi="宋体" w:eastAsia="宋体" w:cs="宋体"/>
          <w:b/>
          <w:bCs/>
          <w:color w:val="auto"/>
          <w:sz w:val="24"/>
          <w:highlight w:val="none"/>
        </w:rPr>
      </w:pPr>
    </w:p>
    <w:p>
      <w:pPr>
        <w:numPr>
          <w:ilvl w:val="-1"/>
          <w:numId w:val="0"/>
        </w:numPr>
        <w:snapToGrid w:val="0"/>
        <w:spacing w:line="480" w:lineRule="exact"/>
        <w:ind w:firstLine="495" w:firstLineChars="206"/>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color w:val="auto"/>
          <w:sz w:val="24"/>
          <w:highlight w:val="none"/>
        </w:rPr>
        <w:t xml:space="preserve"> 1、本表为格式表，不得自行改动，必须提供。</w:t>
      </w:r>
    </w:p>
    <w:p>
      <w:pPr>
        <w:spacing w:line="480" w:lineRule="exact"/>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cs="宋体"/>
          <w:color w:val="auto"/>
          <w:sz w:val="24"/>
          <w:highlight w:val="none"/>
          <w:lang w:val="en-US" w:eastAsia="zh-CN"/>
        </w:rPr>
        <w:t>2、最终按照实际检查次数进行结算。</w:t>
      </w:r>
    </w:p>
    <w:sectPr>
      <w:headerReference r:id="rId4" w:type="default"/>
      <w:footerReference r:id="rId5"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00"/>
    <w:family w:val="modern"/>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Menlo">
    <w:panose1 w:val="020B0609030804020204"/>
    <w:charset w:val="00"/>
    <w:family w:val="auto"/>
    <w:pitch w:val="default"/>
    <w:sig w:usb0="E60022FF" w:usb1="D200F9FB" w:usb2="02000028" w:usb3="00000000" w:csb0="600001DF" w:csb1="FFDF0000"/>
  </w:font>
  <w:font w:name="Cambria">
    <w:altName w:val="苹方-简"/>
    <w:panose1 w:val="02040503050406030204"/>
    <w:charset w:val="00"/>
    <w:family w:val="roman"/>
    <w:pitch w:val="default"/>
    <w:sig w:usb0="00000000" w:usb1="00000000" w:usb2="02000000" w:usb3="00000000" w:csb0="2000019F" w:csb1="00000000"/>
  </w:font>
  <w:font w:name="Tahoma">
    <w:panose1 w:val="020B0804030504040204"/>
    <w:charset w:val="00"/>
    <w:family w:val="swiss"/>
    <w:pitch w:val="default"/>
    <w:sig w:usb0="E1002A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altName w:val="汉仪旗黑"/>
    <w:panose1 w:val="020B0503020204020204"/>
    <w:charset w:val="86"/>
    <w:family w:val="swiss"/>
    <w:pitch w:val="default"/>
    <w:sig w:usb0="00000000" w:usb1="00000000" w:usb2="00000016" w:usb3="00000000" w:csb0="0004001F" w:csb1="00000000"/>
  </w:font>
  <w:font w:name="??_GB2312">
    <w:altName w:val="苹方-简"/>
    <w:panose1 w:val="00000000000000000000"/>
    <w:charset w:val="00"/>
    <w:family w:val="auto"/>
    <w:pitch w:val="default"/>
    <w:sig w:usb0="00000000" w:usb1="00000000" w:usb2="00000000" w:usb3="00000000" w:csb0="00000001"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苹方-简">
    <w:panose1 w:val="020B0400000000000000"/>
    <w:charset w:val="86"/>
    <w:family w:val="auto"/>
    <w:pitch w:val="default"/>
    <w:sig w:usb0="A00002FF" w:usb1="7ACFFDFB" w:usb2="00000017" w:usb3="00000000" w:csb0="0004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047000775" name="Text Box 1"/>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pPr>
                            <w:pStyle w:val="32"/>
                            <w:jc w:val="center"/>
                          </w:pPr>
                          <w:r>
                            <w:rPr>
                              <w:b/>
                              <w:bCs/>
                            </w:rPr>
                            <w:fldChar w:fldCharType="begin"/>
                          </w:r>
                          <w:r>
                            <w:rPr>
                              <w:b/>
                              <w:bCs/>
                            </w:rPr>
                            <w:instrText xml:space="preserve">PAGE</w:instrText>
                          </w:r>
                          <w:r>
                            <w:rPr>
                              <w:b/>
                              <w:bCs/>
                            </w:rPr>
                            <w:fldChar w:fldCharType="separate"/>
                          </w:r>
                          <w:r>
                            <w:rPr>
                              <w:b/>
                              <w:bCs/>
                            </w:rPr>
                            <w:t>21</w:t>
                          </w:r>
                          <w:r>
                            <w:rPr>
                              <w:b/>
                              <w:bCs/>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EPlfknQAAAAAwEAAA8AAAAAAAAAAQAgAAAAOAAAAGRycy9kb3ducmV2Lnht&#10;bFBLAQIUABQAAAAIAIdO4kCi35Hx6wEAAOgDAAAOAAAAAAAAAAEAIAAAADUBAABkcnMvZTJvRG9j&#10;LnhtbFBLBQYAAAAABgAGAFkBAACSBQAAAAA=&#10;">
              <v:fill on="f" focussize="0,0"/>
              <v:stroke on="f"/>
              <v:imagedata o:title=""/>
              <o:lock v:ext="edit" aspectratio="f"/>
              <v:textbox inset="0mm,0mm,0mm,0mm" style="mso-fit-shape-to-text:t;">
                <w:txbxContent>
                  <w:p>
                    <w:pPr>
                      <w:pStyle w:val="32"/>
                      <w:jc w:val="center"/>
                    </w:pPr>
                    <w:r>
                      <w:rPr>
                        <w:b/>
                        <w:bCs/>
                      </w:rPr>
                      <w:fldChar w:fldCharType="begin"/>
                    </w:r>
                    <w:r>
                      <w:rPr>
                        <w:b/>
                        <w:bCs/>
                      </w:rPr>
                      <w:instrText xml:space="preserve">PAGE</w:instrText>
                    </w:r>
                    <w:r>
                      <w:rPr>
                        <w:b/>
                        <w:bCs/>
                      </w:rPr>
                      <w:fldChar w:fldCharType="separate"/>
                    </w:r>
                    <w:r>
                      <w:rPr>
                        <w:b/>
                        <w:bCs/>
                      </w:rPr>
                      <w:t>21</w:t>
                    </w:r>
                    <w:r>
                      <w:rPr>
                        <w:b/>
                        <w:bCs/>
                      </w:rPr>
                      <w:fldChar w:fldCharType="end"/>
                    </w:r>
                  </w:p>
                </w:txbxContent>
              </v:textbox>
            </v:shape>
          </w:pict>
        </mc:Fallback>
      </mc:AlternateContent>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E1956"/>
    <w:multiLevelType w:val="singleLevel"/>
    <w:tmpl w:val="AD0E1956"/>
    <w:lvl w:ilvl="0" w:tentative="0">
      <w:start w:val="1"/>
      <w:numFmt w:val="decimal"/>
      <w:suff w:val="nothing"/>
      <w:lvlText w:val="（%1）"/>
      <w:lvlJc w:val="left"/>
    </w:lvl>
  </w:abstractNum>
  <w:abstractNum w:abstractNumId="1">
    <w:nsid w:val="DFFF3615"/>
    <w:multiLevelType w:val="singleLevel"/>
    <w:tmpl w:val="DFFF3615"/>
    <w:lvl w:ilvl="0" w:tentative="0">
      <w:start w:val="9"/>
      <w:numFmt w:val="chineseCounting"/>
      <w:suff w:val="nothing"/>
      <w:lvlText w:val="%1、"/>
      <w:lvlJc w:val="left"/>
      <w:rPr>
        <w:rFonts w:hint="eastAsia"/>
      </w:rPr>
    </w:lvl>
  </w:abstractNum>
  <w:abstractNum w:abstractNumId="2">
    <w:nsid w:val="00000013"/>
    <w:multiLevelType w:val="multilevel"/>
    <w:tmpl w:val="0000001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572AE91F"/>
    <w:multiLevelType w:val="singleLevel"/>
    <w:tmpl w:val="572AE91F"/>
    <w:lvl w:ilvl="0" w:tentative="0">
      <w:start w:val="5"/>
      <w:numFmt w:val="chineseCounting"/>
      <w:suff w:val="space"/>
      <w:lvlText w:val="第%1章"/>
      <w:lvlJc w:val="left"/>
    </w:lvl>
  </w:abstractNum>
  <w:abstractNum w:abstractNumId="4">
    <w:nsid w:val="59B0A7DA"/>
    <w:multiLevelType w:val="singleLevel"/>
    <w:tmpl w:val="59B0A7DA"/>
    <w:lvl w:ilvl="0" w:tentative="0">
      <w:start w:val="1"/>
      <w:numFmt w:val="chineseCounting"/>
      <w:suff w:val="nothing"/>
      <w:lvlText w:val="（%1）"/>
      <w:lvlJc w:val="left"/>
    </w:lvl>
  </w:abstractNum>
  <w:abstractNum w:abstractNumId="5">
    <w:nsid w:val="677A5835"/>
    <w:multiLevelType w:val="singleLevel"/>
    <w:tmpl w:val="677A5835"/>
    <w:lvl w:ilvl="0" w:tentative="0">
      <w:start w:val="8"/>
      <w:numFmt w:val="decimal"/>
      <w:lvlText w:val="%1."/>
      <w:lvlJc w:val="left"/>
      <w:pPr>
        <w:tabs>
          <w:tab w:val="left" w:pos="312"/>
        </w:tabs>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6C"/>
    <w:rsid w:val="000075D0"/>
    <w:rsid w:val="0002112B"/>
    <w:rsid w:val="00080E4A"/>
    <w:rsid w:val="00091793"/>
    <w:rsid w:val="00094E6C"/>
    <w:rsid w:val="000B517B"/>
    <w:rsid w:val="000F7F8D"/>
    <w:rsid w:val="00102C82"/>
    <w:rsid w:val="0013628E"/>
    <w:rsid w:val="001C5D2C"/>
    <w:rsid w:val="001D6631"/>
    <w:rsid w:val="0024609D"/>
    <w:rsid w:val="0026446C"/>
    <w:rsid w:val="002828B7"/>
    <w:rsid w:val="002E41CE"/>
    <w:rsid w:val="002F11BD"/>
    <w:rsid w:val="002F6F7A"/>
    <w:rsid w:val="00327026"/>
    <w:rsid w:val="003544F9"/>
    <w:rsid w:val="00357B3B"/>
    <w:rsid w:val="003659A4"/>
    <w:rsid w:val="003864DC"/>
    <w:rsid w:val="003B1703"/>
    <w:rsid w:val="00414A61"/>
    <w:rsid w:val="00420CD0"/>
    <w:rsid w:val="00433D01"/>
    <w:rsid w:val="004E3163"/>
    <w:rsid w:val="0053087A"/>
    <w:rsid w:val="00574EEC"/>
    <w:rsid w:val="005A2C7B"/>
    <w:rsid w:val="005E6EA1"/>
    <w:rsid w:val="005F2A69"/>
    <w:rsid w:val="0064150D"/>
    <w:rsid w:val="006A42BE"/>
    <w:rsid w:val="007255DF"/>
    <w:rsid w:val="00746A8A"/>
    <w:rsid w:val="00772AD4"/>
    <w:rsid w:val="007A6A89"/>
    <w:rsid w:val="008A68A2"/>
    <w:rsid w:val="008B5FC8"/>
    <w:rsid w:val="008E1E80"/>
    <w:rsid w:val="0091391D"/>
    <w:rsid w:val="00946E6C"/>
    <w:rsid w:val="009740A7"/>
    <w:rsid w:val="00984F1B"/>
    <w:rsid w:val="009855B3"/>
    <w:rsid w:val="00A63B16"/>
    <w:rsid w:val="00A81651"/>
    <w:rsid w:val="00A967B8"/>
    <w:rsid w:val="00AA66D7"/>
    <w:rsid w:val="00B30E68"/>
    <w:rsid w:val="00B612FC"/>
    <w:rsid w:val="00B801DC"/>
    <w:rsid w:val="00BB637B"/>
    <w:rsid w:val="00BC7600"/>
    <w:rsid w:val="00C56D84"/>
    <w:rsid w:val="00CC2C17"/>
    <w:rsid w:val="00CF1773"/>
    <w:rsid w:val="00D747AC"/>
    <w:rsid w:val="00D766EA"/>
    <w:rsid w:val="00D85175"/>
    <w:rsid w:val="00DB79CB"/>
    <w:rsid w:val="00E07FA9"/>
    <w:rsid w:val="00E3785A"/>
    <w:rsid w:val="00E536DE"/>
    <w:rsid w:val="00E868A0"/>
    <w:rsid w:val="00EB327F"/>
    <w:rsid w:val="00F03666"/>
    <w:rsid w:val="00F06FC6"/>
    <w:rsid w:val="00F16BD9"/>
    <w:rsid w:val="00F45D07"/>
    <w:rsid w:val="00F67BE1"/>
    <w:rsid w:val="00FC1E15"/>
    <w:rsid w:val="1B6F56A3"/>
    <w:rsid w:val="21CD40ED"/>
    <w:rsid w:val="29600852"/>
    <w:rsid w:val="2C6C0DC1"/>
    <w:rsid w:val="2CEE21FF"/>
    <w:rsid w:val="2FC811E9"/>
    <w:rsid w:val="3FDBCB2D"/>
    <w:rsid w:val="42D07EFF"/>
    <w:rsid w:val="46F0201C"/>
    <w:rsid w:val="4758613B"/>
    <w:rsid w:val="53CBBE53"/>
    <w:rsid w:val="55F2748D"/>
    <w:rsid w:val="6459568D"/>
    <w:rsid w:val="67C35129"/>
    <w:rsid w:val="693D336C"/>
    <w:rsid w:val="69EB0236"/>
    <w:rsid w:val="6BAE8396"/>
    <w:rsid w:val="77ABD2BC"/>
    <w:rsid w:val="795B7BB2"/>
    <w:rsid w:val="7F3D079F"/>
    <w:rsid w:val="7F475CC8"/>
    <w:rsid w:val="7F7F4C5C"/>
    <w:rsid w:val="7FF9C80A"/>
    <w:rsid w:val="AEFFF1FF"/>
    <w:rsid w:val="AFCBA787"/>
    <w:rsid w:val="B7EB1920"/>
    <w:rsid w:val="BBADFE36"/>
    <w:rsid w:val="BDE15F29"/>
    <w:rsid w:val="D5D4F5DA"/>
    <w:rsid w:val="D5F7370B"/>
    <w:rsid w:val="DD7EAB43"/>
    <w:rsid w:val="DEA7CB24"/>
    <w:rsid w:val="DFFF741C"/>
    <w:rsid w:val="EAFF8067"/>
    <w:rsid w:val="F5BB4F72"/>
    <w:rsid w:val="F6EFB430"/>
    <w:rsid w:val="FE23CC1D"/>
    <w:rsid w:val="FE3D3C7F"/>
    <w:rsid w:val="FE75CC6B"/>
    <w:rsid w:val="FE972CF1"/>
    <w:rsid w:val="FEA5F9C1"/>
    <w:rsid w:val="FFAB5993"/>
    <w:rsid w:val="FFBF8E2B"/>
    <w:rsid w:val="FFFF4F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72"/>
    <w:qFormat/>
    <w:uiPriority w:val="0"/>
    <w:pPr>
      <w:keepNext/>
      <w:keepLines/>
      <w:spacing w:before="340" w:after="330" w:line="578" w:lineRule="auto"/>
      <w:outlineLvl w:val="0"/>
    </w:pPr>
    <w:rPr>
      <w:b/>
      <w:kern w:val="44"/>
      <w:sz w:val="44"/>
      <w:szCs w:val="26"/>
    </w:rPr>
  </w:style>
  <w:style w:type="paragraph" w:styleId="4">
    <w:name w:val="heading 2"/>
    <w:basedOn w:val="1"/>
    <w:next w:val="1"/>
    <w:link w:val="73"/>
    <w:qFormat/>
    <w:uiPriority w:val="0"/>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5">
    <w:name w:val="heading 3"/>
    <w:basedOn w:val="1"/>
    <w:next w:val="1"/>
    <w:link w:val="74"/>
    <w:qFormat/>
    <w:uiPriority w:val="0"/>
    <w:pPr>
      <w:keepNext/>
      <w:keepLines/>
      <w:spacing w:before="240" w:after="240"/>
      <w:jc w:val="center"/>
      <w:outlineLvl w:val="2"/>
    </w:pPr>
    <w:rPr>
      <w:rFonts w:ascii="黑体" w:hAnsi="黑体" w:eastAsia="黑体"/>
      <w:bCs/>
      <w:spacing w:val="-2"/>
      <w:sz w:val="30"/>
      <w:szCs w:val="30"/>
      <w:shd w:val="pct10" w:color="auto" w:fill="FFFFFF"/>
    </w:rPr>
  </w:style>
  <w:style w:type="paragraph" w:styleId="6">
    <w:name w:val="heading 5"/>
    <w:basedOn w:val="1"/>
    <w:next w:val="7"/>
    <w:link w:val="75"/>
    <w:qFormat/>
    <w:uiPriority w:val="0"/>
    <w:pPr>
      <w:keepNext/>
      <w:keepLines/>
      <w:tabs>
        <w:tab w:val="left" w:pos="1008"/>
      </w:tabs>
      <w:spacing w:before="280" w:after="290" w:line="376" w:lineRule="auto"/>
      <w:ind w:left="1008" w:hanging="1008"/>
      <w:outlineLvl w:val="4"/>
    </w:pPr>
    <w:rPr>
      <w:rFonts w:ascii="宋体"/>
      <w:b/>
      <w:spacing w:val="-2"/>
      <w:position w:val="-6"/>
      <w:sz w:val="28"/>
      <w:szCs w:val="20"/>
    </w:rPr>
  </w:style>
  <w:style w:type="paragraph" w:styleId="8">
    <w:name w:val="heading 6"/>
    <w:basedOn w:val="1"/>
    <w:next w:val="7"/>
    <w:link w:val="77"/>
    <w:qFormat/>
    <w:uiPriority w:val="0"/>
    <w:pPr>
      <w:keepNext/>
      <w:keepLines/>
      <w:tabs>
        <w:tab w:val="left" w:pos="1152"/>
      </w:tabs>
      <w:spacing w:before="240" w:after="64" w:line="320" w:lineRule="auto"/>
      <w:ind w:left="1152" w:hanging="1152"/>
      <w:outlineLvl w:val="5"/>
    </w:pPr>
    <w:rPr>
      <w:rFonts w:ascii="Arial" w:hAnsi="Arial" w:eastAsia="黑体"/>
      <w:b/>
      <w:spacing w:val="-2"/>
      <w:position w:val="-6"/>
      <w:sz w:val="24"/>
      <w:szCs w:val="20"/>
    </w:rPr>
  </w:style>
  <w:style w:type="paragraph" w:styleId="9">
    <w:name w:val="heading 7"/>
    <w:basedOn w:val="1"/>
    <w:next w:val="1"/>
    <w:link w:val="78"/>
    <w:qFormat/>
    <w:uiPriority w:val="0"/>
    <w:pPr>
      <w:keepNext/>
      <w:keepLines/>
      <w:numPr>
        <w:ilvl w:val="6"/>
        <w:numId w:val="1"/>
      </w:numPr>
      <w:spacing w:before="240" w:after="64" w:line="320" w:lineRule="auto"/>
      <w:outlineLvl w:val="6"/>
    </w:pPr>
    <w:rPr>
      <w:rFonts w:ascii="宋体"/>
      <w:b/>
      <w:spacing w:val="-2"/>
      <w:position w:val="-6"/>
      <w:sz w:val="24"/>
      <w:szCs w:val="26"/>
    </w:rPr>
  </w:style>
  <w:style w:type="paragraph" w:styleId="10">
    <w:name w:val="heading 8"/>
    <w:basedOn w:val="1"/>
    <w:next w:val="7"/>
    <w:link w:val="79"/>
    <w:qFormat/>
    <w:uiPriority w:val="0"/>
    <w:pPr>
      <w:keepNext/>
      <w:keepLines/>
      <w:tabs>
        <w:tab w:val="left" w:pos="1440"/>
      </w:tabs>
      <w:spacing w:before="240" w:after="64" w:line="320" w:lineRule="auto"/>
      <w:ind w:left="1440" w:hanging="1440"/>
      <w:outlineLvl w:val="7"/>
    </w:pPr>
    <w:rPr>
      <w:rFonts w:ascii="Arial" w:hAnsi="Arial" w:eastAsia="黑体"/>
      <w:spacing w:val="-2"/>
      <w:position w:val="-6"/>
      <w:sz w:val="24"/>
      <w:szCs w:val="20"/>
    </w:rPr>
  </w:style>
  <w:style w:type="paragraph" w:styleId="11">
    <w:name w:val="heading 9"/>
    <w:basedOn w:val="1"/>
    <w:next w:val="7"/>
    <w:link w:val="80"/>
    <w:qFormat/>
    <w:uiPriority w:val="0"/>
    <w:pPr>
      <w:keepNext/>
      <w:keepLines/>
      <w:tabs>
        <w:tab w:val="left" w:pos="1584"/>
      </w:tabs>
      <w:spacing w:before="240" w:after="64" w:line="320" w:lineRule="auto"/>
      <w:ind w:left="1584" w:hanging="1584"/>
      <w:outlineLvl w:val="8"/>
    </w:pPr>
    <w:rPr>
      <w:rFonts w:ascii="Arial" w:hAnsi="Arial" w:eastAsia="黑体"/>
      <w:spacing w:val="-2"/>
      <w:position w:val="-6"/>
      <w:sz w:val="28"/>
      <w:szCs w:val="20"/>
    </w:rPr>
  </w:style>
  <w:style w:type="character" w:default="1" w:styleId="55">
    <w:name w:val="Default Paragraph Font"/>
    <w:unhideWhenUsed/>
    <w:qFormat/>
    <w:uiPriority w:val="1"/>
  </w:style>
  <w:style w:type="table" w:default="1" w:styleId="5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84"/>
    <w:qFormat/>
    <w:uiPriority w:val="0"/>
    <w:pPr>
      <w:spacing w:after="120"/>
    </w:pPr>
    <w:rPr>
      <w:sz w:val="24"/>
      <w:szCs w:val="20"/>
    </w:rPr>
  </w:style>
  <w:style w:type="paragraph" w:styleId="7">
    <w:name w:val="Normal Indent"/>
    <w:basedOn w:val="1"/>
    <w:link w:val="76"/>
    <w:qFormat/>
    <w:uiPriority w:val="0"/>
    <w:pPr>
      <w:spacing w:line="360" w:lineRule="exact"/>
      <w:ind w:firstLine="420" w:firstLineChars="200"/>
    </w:pPr>
    <w:rPr>
      <w:sz w:val="24"/>
      <w:szCs w:val="24"/>
    </w:rPr>
  </w:style>
  <w:style w:type="paragraph" w:styleId="12">
    <w:name w:val="toc 7"/>
    <w:basedOn w:val="1"/>
    <w:next w:val="1"/>
    <w:qFormat/>
    <w:uiPriority w:val="0"/>
    <w:pPr>
      <w:ind w:left="2520"/>
    </w:pPr>
    <w:rPr>
      <w:rFonts w:eastAsia="楷体_GB2312"/>
      <w:sz w:val="26"/>
      <w:szCs w:val="20"/>
    </w:rPr>
  </w:style>
  <w:style w:type="paragraph" w:styleId="13">
    <w:name w:val="index 8"/>
    <w:basedOn w:val="1"/>
    <w:next w:val="1"/>
    <w:qFormat/>
    <w:uiPriority w:val="0"/>
    <w:pPr>
      <w:ind w:left="2940"/>
    </w:pPr>
    <w:rPr>
      <w:rFonts w:eastAsia="楷体_GB2312"/>
      <w:sz w:val="26"/>
      <w:szCs w:val="20"/>
    </w:rPr>
  </w:style>
  <w:style w:type="paragraph" w:styleId="14">
    <w:name w:val="index 5"/>
    <w:basedOn w:val="1"/>
    <w:next w:val="1"/>
    <w:qFormat/>
    <w:uiPriority w:val="0"/>
    <w:pPr>
      <w:ind w:left="1680"/>
    </w:pPr>
    <w:rPr>
      <w:rFonts w:eastAsia="楷体_GB2312"/>
      <w:sz w:val="26"/>
      <w:szCs w:val="20"/>
    </w:rPr>
  </w:style>
  <w:style w:type="paragraph" w:styleId="15">
    <w:name w:val="Document Map"/>
    <w:basedOn w:val="1"/>
    <w:link w:val="81"/>
    <w:qFormat/>
    <w:uiPriority w:val="0"/>
    <w:pPr>
      <w:shd w:val="clear" w:color="auto" w:fill="000080"/>
    </w:pPr>
    <w:rPr>
      <w:sz w:val="24"/>
      <w:szCs w:val="20"/>
    </w:r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7">
    <w:name w:val="annotation text"/>
    <w:basedOn w:val="1"/>
    <w:link w:val="82"/>
    <w:qFormat/>
    <w:uiPriority w:val="99"/>
    <w:pPr>
      <w:jc w:val="left"/>
    </w:pPr>
    <w:rPr>
      <w:sz w:val="24"/>
      <w:szCs w:val="20"/>
    </w:rPr>
  </w:style>
  <w:style w:type="paragraph" w:styleId="18">
    <w:name w:val="index 6"/>
    <w:basedOn w:val="1"/>
    <w:next w:val="1"/>
    <w:qFormat/>
    <w:uiPriority w:val="0"/>
    <w:pPr>
      <w:ind w:left="2100"/>
    </w:pPr>
    <w:rPr>
      <w:rFonts w:eastAsia="楷体_GB2312"/>
      <w:sz w:val="26"/>
      <w:szCs w:val="20"/>
    </w:rPr>
  </w:style>
  <w:style w:type="paragraph" w:styleId="19">
    <w:name w:val="Salutation"/>
    <w:basedOn w:val="1"/>
    <w:next w:val="1"/>
    <w:link w:val="83"/>
    <w:qFormat/>
    <w:uiPriority w:val="0"/>
    <w:rPr>
      <w:rFonts w:ascii="Calibri" w:hAnsi="Calibri" w:eastAsia="楷体_GB2312" w:cs="Times New Roman"/>
      <w:sz w:val="24"/>
      <w:szCs w:val="22"/>
    </w:rPr>
  </w:style>
  <w:style w:type="paragraph" w:styleId="20">
    <w:name w:val="Body Text Indent"/>
    <w:basedOn w:val="1"/>
    <w:next w:val="21"/>
    <w:link w:val="69"/>
    <w:unhideWhenUsed/>
    <w:qFormat/>
    <w:uiPriority w:val="0"/>
    <w:pPr>
      <w:spacing w:after="120"/>
      <w:ind w:left="420" w:leftChars="200"/>
    </w:pPr>
  </w:style>
  <w:style w:type="paragraph" w:styleId="21">
    <w:name w:val="envelope return"/>
    <w:basedOn w:val="1"/>
    <w:qFormat/>
    <w:uiPriority w:val="99"/>
    <w:pPr>
      <w:snapToGrid w:val="0"/>
    </w:pPr>
    <w:rPr>
      <w:rFonts w:ascii="Arial" w:hAnsi="Arial" w:eastAsia="楷体_GB2312" w:cs="Arial"/>
      <w:sz w:val="26"/>
      <w:szCs w:val="26"/>
    </w:rPr>
  </w:style>
  <w:style w:type="paragraph" w:styleId="22">
    <w:name w:val="Block Text"/>
    <w:basedOn w:val="1"/>
    <w:unhideWhenUsed/>
    <w:qFormat/>
    <w:uiPriority w:val="99"/>
    <w:pPr>
      <w:spacing w:after="120"/>
      <w:ind w:left="1440" w:leftChars="700" w:right="1440" w:rightChars="700"/>
    </w:pPr>
    <w:rPr>
      <w:rFonts w:hint="eastAsia" w:eastAsia="楷体_GB2312"/>
      <w:sz w:val="26"/>
      <w:szCs w:val="26"/>
    </w:rPr>
  </w:style>
  <w:style w:type="paragraph" w:styleId="23">
    <w:name w:val="index 4"/>
    <w:basedOn w:val="1"/>
    <w:next w:val="1"/>
    <w:qFormat/>
    <w:uiPriority w:val="0"/>
    <w:pPr>
      <w:ind w:left="1260"/>
    </w:pPr>
    <w:rPr>
      <w:rFonts w:eastAsia="楷体_GB2312"/>
      <w:sz w:val="26"/>
      <w:szCs w:val="20"/>
    </w:rPr>
  </w:style>
  <w:style w:type="paragraph" w:styleId="24">
    <w:name w:val="toc 5"/>
    <w:basedOn w:val="1"/>
    <w:next w:val="1"/>
    <w:qFormat/>
    <w:uiPriority w:val="0"/>
    <w:pPr>
      <w:ind w:left="1680"/>
    </w:pPr>
    <w:rPr>
      <w:rFonts w:eastAsia="楷体_GB2312"/>
      <w:sz w:val="26"/>
      <w:szCs w:val="20"/>
    </w:rPr>
  </w:style>
  <w:style w:type="paragraph" w:styleId="25">
    <w:name w:val="toc 3"/>
    <w:basedOn w:val="1"/>
    <w:next w:val="1"/>
    <w:qFormat/>
    <w:uiPriority w:val="0"/>
    <w:pPr>
      <w:ind w:left="420"/>
      <w:jc w:val="left"/>
    </w:pPr>
    <w:rPr>
      <w:i/>
      <w:iCs/>
      <w:sz w:val="20"/>
      <w:szCs w:val="20"/>
    </w:rPr>
  </w:style>
  <w:style w:type="paragraph" w:styleId="26">
    <w:name w:val="Plain Text"/>
    <w:basedOn w:val="1"/>
    <w:link w:val="85"/>
    <w:qFormat/>
    <w:uiPriority w:val="0"/>
    <w:rPr>
      <w:rFonts w:ascii="宋体" w:hAnsi="Courier New" w:cs="Courier New"/>
    </w:rPr>
  </w:style>
  <w:style w:type="paragraph" w:styleId="27">
    <w:name w:val="toc 8"/>
    <w:basedOn w:val="1"/>
    <w:next w:val="1"/>
    <w:qFormat/>
    <w:uiPriority w:val="0"/>
    <w:pPr>
      <w:ind w:left="2940"/>
    </w:pPr>
    <w:rPr>
      <w:rFonts w:eastAsia="楷体_GB2312"/>
      <w:sz w:val="26"/>
      <w:szCs w:val="20"/>
    </w:rPr>
  </w:style>
  <w:style w:type="paragraph" w:styleId="28">
    <w:name w:val="index 3"/>
    <w:basedOn w:val="1"/>
    <w:next w:val="1"/>
    <w:qFormat/>
    <w:uiPriority w:val="0"/>
    <w:pPr>
      <w:ind w:left="840"/>
    </w:pPr>
    <w:rPr>
      <w:rFonts w:eastAsia="楷体_GB2312"/>
      <w:sz w:val="26"/>
      <w:szCs w:val="20"/>
    </w:rPr>
  </w:style>
  <w:style w:type="paragraph" w:styleId="29">
    <w:name w:val="Date"/>
    <w:basedOn w:val="1"/>
    <w:next w:val="1"/>
    <w:link w:val="86"/>
    <w:qFormat/>
    <w:uiPriority w:val="99"/>
    <w:rPr>
      <w:rFonts w:ascii="宋体" w:hAnsi="宋体" w:eastAsia="楷体_GB2312" w:cs="Times New Roman"/>
      <w:sz w:val="24"/>
      <w:szCs w:val="22"/>
    </w:rPr>
  </w:style>
  <w:style w:type="paragraph" w:styleId="30">
    <w:name w:val="Body Text Indent 2"/>
    <w:basedOn w:val="1"/>
    <w:link w:val="87"/>
    <w:qFormat/>
    <w:uiPriority w:val="0"/>
    <w:pPr>
      <w:spacing w:line="380" w:lineRule="exact"/>
      <w:ind w:firstLine="420"/>
    </w:pPr>
    <w:rPr>
      <w:sz w:val="24"/>
      <w:szCs w:val="20"/>
    </w:rPr>
  </w:style>
  <w:style w:type="paragraph" w:styleId="31">
    <w:name w:val="Balloon Text"/>
    <w:basedOn w:val="1"/>
    <w:link w:val="88"/>
    <w:qFormat/>
    <w:uiPriority w:val="0"/>
    <w:rPr>
      <w:sz w:val="18"/>
      <w:szCs w:val="18"/>
    </w:rPr>
  </w:style>
  <w:style w:type="paragraph" w:styleId="32">
    <w:name w:val="footer"/>
    <w:basedOn w:val="1"/>
    <w:link w:val="89"/>
    <w:qFormat/>
    <w:uiPriority w:val="99"/>
    <w:pPr>
      <w:tabs>
        <w:tab w:val="center" w:pos="4153"/>
        <w:tab w:val="right" w:pos="8306"/>
      </w:tabs>
      <w:snapToGrid w:val="0"/>
      <w:jc w:val="left"/>
    </w:pPr>
    <w:rPr>
      <w:sz w:val="18"/>
      <w:szCs w:val="18"/>
    </w:rPr>
  </w:style>
  <w:style w:type="paragraph" w:styleId="33">
    <w:name w:val="header"/>
    <w:basedOn w:val="1"/>
    <w:link w:val="90"/>
    <w:qFormat/>
    <w:uiPriority w:val="0"/>
    <w:pPr>
      <w:pBdr>
        <w:bottom w:val="single" w:color="auto" w:sz="6" w:space="1"/>
      </w:pBdr>
      <w:tabs>
        <w:tab w:val="center" w:pos="4153"/>
        <w:tab w:val="right" w:pos="8306"/>
      </w:tabs>
      <w:snapToGrid w:val="0"/>
      <w:jc w:val="center"/>
    </w:pPr>
    <w:rPr>
      <w:kern w:val="0"/>
      <w:sz w:val="18"/>
      <w:szCs w:val="18"/>
    </w:rPr>
  </w:style>
  <w:style w:type="paragraph" w:styleId="34">
    <w:name w:val="Signature"/>
    <w:basedOn w:val="1"/>
    <w:link w:val="91"/>
    <w:qFormat/>
    <w:uiPriority w:val="0"/>
    <w:pPr>
      <w:adjustRightInd w:val="0"/>
      <w:spacing w:after="600" w:line="312" w:lineRule="atLeast"/>
      <w:jc w:val="center"/>
      <w:textAlignment w:val="baseline"/>
    </w:pPr>
    <w:rPr>
      <w:rFonts w:ascii="Calibri" w:hAnsi="Calibri" w:eastAsia="仿宋_GB2312" w:cs="Times New Roman"/>
      <w:sz w:val="24"/>
      <w:szCs w:val="22"/>
    </w:rPr>
  </w:style>
  <w:style w:type="paragraph" w:styleId="35">
    <w:name w:val="toc 1"/>
    <w:basedOn w:val="1"/>
    <w:next w:val="1"/>
    <w:qFormat/>
    <w:uiPriority w:val="0"/>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6">
    <w:name w:val="toc 4"/>
    <w:basedOn w:val="1"/>
    <w:next w:val="1"/>
    <w:qFormat/>
    <w:uiPriority w:val="0"/>
    <w:pPr>
      <w:ind w:left="1260"/>
    </w:pPr>
    <w:rPr>
      <w:rFonts w:eastAsia="楷体_GB2312"/>
      <w:sz w:val="26"/>
      <w:szCs w:val="20"/>
    </w:rPr>
  </w:style>
  <w:style w:type="paragraph" w:styleId="37">
    <w:name w:val="index heading"/>
    <w:basedOn w:val="1"/>
    <w:next w:val="38"/>
    <w:qFormat/>
    <w:uiPriority w:val="0"/>
    <w:rPr>
      <w:rFonts w:eastAsia="楷体_GB2312"/>
      <w:sz w:val="26"/>
      <w:szCs w:val="20"/>
    </w:rPr>
  </w:style>
  <w:style w:type="paragraph" w:styleId="38">
    <w:name w:val="index 1"/>
    <w:basedOn w:val="1"/>
    <w:next w:val="1"/>
    <w:unhideWhenUsed/>
    <w:qFormat/>
    <w:uiPriority w:val="0"/>
  </w:style>
  <w:style w:type="paragraph" w:styleId="39">
    <w:name w:val="footnote text"/>
    <w:basedOn w:val="1"/>
    <w:link w:val="92"/>
    <w:qFormat/>
    <w:uiPriority w:val="0"/>
    <w:pPr>
      <w:snapToGrid w:val="0"/>
      <w:jc w:val="left"/>
    </w:pPr>
    <w:rPr>
      <w:rFonts w:ascii="Calibri" w:hAnsi="Calibri" w:eastAsia="楷体_GB2312" w:cs="Times New Roman"/>
      <w:sz w:val="18"/>
      <w:szCs w:val="22"/>
    </w:rPr>
  </w:style>
  <w:style w:type="paragraph" w:styleId="40">
    <w:name w:val="toc 6"/>
    <w:basedOn w:val="1"/>
    <w:next w:val="1"/>
    <w:qFormat/>
    <w:uiPriority w:val="0"/>
    <w:pPr>
      <w:ind w:left="2100"/>
    </w:pPr>
    <w:rPr>
      <w:rFonts w:eastAsia="楷体_GB2312"/>
      <w:sz w:val="26"/>
      <w:szCs w:val="20"/>
    </w:rPr>
  </w:style>
  <w:style w:type="paragraph" w:styleId="41">
    <w:name w:val="Body Text Indent 3"/>
    <w:basedOn w:val="1"/>
    <w:next w:val="16"/>
    <w:link w:val="71"/>
    <w:qFormat/>
    <w:uiPriority w:val="0"/>
    <w:pPr>
      <w:spacing w:line="390" w:lineRule="exact"/>
      <w:ind w:firstLine="480"/>
    </w:pPr>
    <w:rPr>
      <w:rFonts w:ascii="宋体"/>
      <w:sz w:val="23"/>
      <w:szCs w:val="20"/>
    </w:rPr>
  </w:style>
  <w:style w:type="paragraph" w:styleId="42">
    <w:name w:val="index 7"/>
    <w:basedOn w:val="1"/>
    <w:next w:val="1"/>
    <w:qFormat/>
    <w:uiPriority w:val="0"/>
    <w:pPr>
      <w:ind w:left="2520"/>
    </w:pPr>
    <w:rPr>
      <w:rFonts w:eastAsia="楷体_GB2312"/>
      <w:sz w:val="26"/>
      <w:szCs w:val="20"/>
    </w:rPr>
  </w:style>
  <w:style w:type="paragraph" w:styleId="43">
    <w:name w:val="index 9"/>
    <w:basedOn w:val="1"/>
    <w:next w:val="1"/>
    <w:qFormat/>
    <w:uiPriority w:val="0"/>
    <w:pPr>
      <w:ind w:left="3360"/>
    </w:pPr>
    <w:rPr>
      <w:rFonts w:eastAsia="楷体_GB2312"/>
      <w:sz w:val="26"/>
      <w:szCs w:val="20"/>
    </w:rPr>
  </w:style>
  <w:style w:type="paragraph" w:styleId="44">
    <w:name w:val="table of figures"/>
    <w:basedOn w:val="1"/>
    <w:next w:val="1"/>
    <w:qFormat/>
    <w:uiPriority w:val="0"/>
    <w:pPr>
      <w:adjustRightInd w:val="0"/>
      <w:ind w:left="420" w:hanging="420"/>
      <w:jc w:val="left"/>
      <w:textAlignment w:val="baseline"/>
    </w:pPr>
    <w:rPr>
      <w:rFonts w:eastAsia="楷体_GB2312"/>
      <w:smallCaps/>
      <w:sz w:val="24"/>
      <w:szCs w:val="20"/>
    </w:rPr>
  </w:style>
  <w:style w:type="paragraph" w:styleId="45">
    <w:name w:val="toc 2"/>
    <w:basedOn w:val="1"/>
    <w:next w:val="1"/>
    <w:qFormat/>
    <w:uiPriority w:val="0"/>
    <w:pPr>
      <w:ind w:left="420"/>
    </w:pPr>
    <w:rPr>
      <w:sz w:val="24"/>
      <w:szCs w:val="20"/>
    </w:rPr>
  </w:style>
  <w:style w:type="paragraph" w:styleId="46">
    <w:name w:val="toc 9"/>
    <w:basedOn w:val="1"/>
    <w:next w:val="1"/>
    <w:qFormat/>
    <w:uiPriority w:val="0"/>
    <w:pPr>
      <w:ind w:left="3360"/>
    </w:pPr>
    <w:rPr>
      <w:rFonts w:eastAsia="楷体_GB2312"/>
      <w:sz w:val="26"/>
      <w:szCs w:val="20"/>
    </w:rPr>
  </w:style>
  <w:style w:type="paragraph" w:styleId="47">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楷体_GB2312"/>
      <w:szCs w:val="22"/>
    </w:rPr>
  </w:style>
  <w:style w:type="paragraph" w:styleId="4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9">
    <w:name w:val="index 2"/>
    <w:basedOn w:val="1"/>
    <w:next w:val="1"/>
    <w:qFormat/>
    <w:uiPriority w:val="0"/>
    <w:pPr>
      <w:ind w:left="420"/>
    </w:pPr>
    <w:rPr>
      <w:rFonts w:eastAsia="楷体_GB2312"/>
      <w:sz w:val="26"/>
      <w:szCs w:val="20"/>
    </w:rPr>
  </w:style>
  <w:style w:type="paragraph" w:styleId="50">
    <w:name w:val="annotation subject"/>
    <w:basedOn w:val="17"/>
    <w:next w:val="17"/>
    <w:link w:val="94"/>
    <w:qFormat/>
    <w:uiPriority w:val="0"/>
    <w:rPr>
      <w:b/>
      <w:bCs/>
    </w:rPr>
  </w:style>
  <w:style w:type="paragraph" w:styleId="51">
    <w:name w:val="Body Text First Indent"/>
    <w:basedOn w:val="2"/>
    <w:next w:val="1"/>
    <w:link w:val="95"/>
    <w:unhideWhenUsed/>
    <w:qFormat/>
    <w:uiPriority w:val="99"/>
    <w:pPr>
      <w:ind w:firstLine="420" w:firstLineChars="100"/>
    </w:pPr>
    <w:rPr>
      <w:sz w:val="21"/>
      <w:szCs w:val="22"/>
    </w:rPr>
  </w:style>
  <w:style w:type="paragraph" w:styleId="52">
    <w:name w:val="Body Text First Indent 2"/>
    <w:basedOn w:val="20"/>
    <w:next w:val="41"/>
    <w:link w:val="70"/>
    <w:qFormat/>
    <w:uiPriority w:val="99"/>
    <w:pPr>
      <w:spacing w:after="156"/>
      <w:ind w:left="0" w:leftChars="0" w:firstLine="420" w:firstLineChars="200"/>
    </w:p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basedOn w:val="55"/>
    <w:unhideWhenUsed/>
    <w:qFormat/>
    <w:uiPriority w:val="99"/>
    <w:rPr>
      <w:color w:val="800080"/>
      <w:u w:val="single"/>
    </w:rPr>
  </w:style>
  <w:style w:type="character" w:styleId="59">
    <w:name w:val="Emphasis"/>
    <w:qFormat/>
    <w:uiPriority w:val="0"/>
    <w:rPr>
      <w:i/>
      <w:iCs/>
    </w:rPr>
  </w:style>
  <w:style w:type="character" w:styleId="60">
    <w:name w:val="line number"/>
    <w:basedOn w:val="55"/>
    <w:qFormat/>
    <w:uiPriority w:val="0"/>
  </w:style>
  <w:style w:type="character" w:styleId="61">
    <w:name w:val="HTML Definition"/>
    <w:qFormat/>
    <w:uiPriority w:val="0"/>
    <w:rPr>
      <w:i/>
    </w:rPr>
  </w:style>
  <w:style w:type="character" w:styleId="62">
    <w:name w:val="Hyperlink"/>
    <w:qFormat/>
    <w:uiPriority w:val="0"/>
    <w:rPr>
      <w:rFonts w:cs="Times New Roman"/>
      <w:color w:val="auto"/>
      <w:u w:val="none"/>
    </w:rPr>
  </w:style>
  <w:style w:type="character" w:styleId="63">
    <w:name w:val="HTML Code"/>
    <w:qFormat/>
    <w:uiPriority w:val="0"/>
    <w:rPr>
      <w:rFonts w:hint="default" w:ascii="Menlo" w:hAnsi="Menlo" w:eastAsia="Menlo" w:cs="Menlo"/>
      <w:color w:val="C7254E"/>
      <w:sz w:val="21"/>
      <w:szCs w:val="21"/>
      <w:shd w:val="clear" w:color="auto" w:fill="F9F2F4"/>
    </w:rPr>
  </w:style>
  <w:style w:type="character" w:styleId="64">
    <w:name w:val="annotation reference"/>
    <w:qFormat/>
    <w:uiPriority w:val="0"/>
    <w:rPr>
      <w:sz w:val="21"/>
      <w:szCs w:val="21"/>
    </w:rPr>
  </w:style>
  <w:style w:type="character" w:styleId="65">
    <w:name w:val="HTML Cite"/>
    <w:qFormat/>
    <w:uiPriority w:val="0"/>
  </w:style>
  <w:style w:type="character" w:styleId="66">
    <w:name w:val="footnote reference"/>
    <w:qFormat/>
    <w:uiPriority w:val="0"/>
    <w:rPr>
      <w:vertAlign w:val="superscript"/>
    </w:rPr>
  </w:style>
  <w:style w:type="character" w:styleId="67">
    <w:name w:val="HTML Keyboard"/>
    <w:qFormat/>
    <w:uiPriority w:val="0"/>
    <w:rPr>
      <w:rFonts w:hint="default" w:ascii="Menlo" w:hAnsi="Menlo" w:eastAsia="Menlo" w:cs="Menlo"/>
      <w:sz w:val="21"/>
      <w:szCs w:val="21"/>
    </w:rPr>
  </w:style>
  <w:style w:type="character" w:styleId="68">
    <w:name w:val="HTML Sample"/>
    <w:qFormat/>
    <w:uiPriority w:val="0"/>
    <w:rPr>
      <w:rFonts w:ascii="Menlo" w:hAnsi="Menlo" w:eastAsia="Menlo" w:cs="Menlo"/>
      <w:sz w:val="21"/>
      <w:szCs w:val="21"/>
    </w:rPr>
  </w:style>
  <w:style w:type="character" w:customStyle="1" w:styleId="69">
    <w:name w:val="正文文本缩进 字符1"/>
    <w:basedOn w:val="55"/>
    <w:link w:val="20"/>
    <w:qFormat/>
    <w:uiPriority w:val="0"/>
    <w:rPr>
      <w:rFonts w:ascii="Times New Roman" w:hAnsi="Times New Roman" w:eastAsia="宋体" w:cs="Times New Roman"/>
      <w:szCs w:val="21"/>
    </w:rPr>
  </w:style>
  <w:style w:type="character" w:customStyle="1" w:styleId="70">
    <w:name w:val="正文首行缩进 2 字符"/>
    <w:link w:val="52"/>
    <w:qFormat/>
    <w:locked/>
    <w:uiPriority w:val="99"/>
    <w:rPr>
      <w:rFonts w:ascii="Times New Roman" w:hAnsi="Times New Roman" w:eastAsia="宋体" w:cs="Times New Roman"/>
      <w:szCs w:val="21"/>
    </w:rPr>
  </w:style>
  <w:style w:type="character" w:customStyle="1" w:styleId="71">
    <w:name w:val="正文文本缩进 3 字符"/>
    <w:basedOn w:val="55"/>
    <w:link w:val="41"/>
    <w:qFormat/>
    <w:uiPriority w:val="0"/>
    <w:rPr>
      <w:rFonts w:ascii="宋体"/>
      <w:kern w:val="2"/>
      <w:sz w:val="23"/>
    </w:rPr>
  </w:style>
  <w:style w:type="character" w:customStyle="1" w:styleId="72">
    <w:name w:val="标题 1 字符"/>
    <w:basedOn w:val="55"/>
    <w:link w:val="3"/>
    <w:qFormat/>
    <w:uiPriority w:val="0"/>
    <w:rPr>
      <w:b/>
      <w:kern w:val="44"/>
      <w:sz w:val="44"/>
      <w:szCs w:val="26"/>
    </w:rPr>
  </w:style>
  <w:style w:type="character" w:customStyle="1" w:styleId="73">
    <w:name w:val="标题 2 字符1"/>
    <w:link w:val="4"/>
    <w:qFormat/>
    <w:locked/>
    <w:uiPriority w:val="99"/>
    <w:rPr>
      <w:rFonts w:ascii="Arial" w:hAnsi="Arial" w:eastAsia="黑体" w:cs="Times New Roman"/>
      <w:b/>
      <w:bCs/>
      <w:kern w:val="0"/>
      <w:sz w:val="32"/>
      <w:szCs w:val="32"/>
    </w:rPr>
  </w:style>
  <w:style w:type="character" w:customStyle="1" w:styleId="74">
    <w:name w:val="标题 3 字符1"/>
    <w:basedOn w:val="55"/>
    <w:link w:val="5"/>
    <w:qFormat/>
    <w:uiPriority w:val="0"/>
    <w:rPr>
      <w:rFonts w:ascii="黑体" w:hAnsi="黑体" w:eastAsia="黑体"/>
      <w:bCs/>
      <w:spacing w:val="-2"/>
      <w:kern w:val="2"/>
      <w:sz w:val="30"/>
      <w:szCs w:val="30"/>
    </w:rPr>
  </w:style>
  <w:style w:type="character" w:customStyle="1" w:styleId="75">
    <w:name w:val="标题 5 字符"/>
    <w:basedOn w:val="55"/>
    <w:link w:val="6"/>
    <w:qFormat/>
    <w:uiPriority w:val="0"/>
    <w:rPr>
      <w:rFonts w:ascii="宋体"/>
      <w:b/>
      <w:spacing w:val="-2"/>
      <w:kern w:val="2"/>
      <w:position w:val="-6"/>
      <w:sz w:val="28"/>
    </w:rPr>
  </w:style>
  <w:style w:type="character" w:customStyle="1" w:styleId="76">
    <w:name w:val="正文缩进 字符"/>
    <w:link w:val="7"/>
    <w:qFormat/>
    <w:uiPriority w:val="0"/>
    <w:rPr>
      <w:kern w:val="2"/>
      <w:sz w:val="24"/>
      <w:szCs w:val="24"/>
    </w:rPr>
  </w:style>
  <w:style w:type="character" w:customStyle="1" w:styleId="77">
    <w:name w:val="标题 6 字符"/>
    <w:basedOn w:val="55"/>
    <w:link w:val="8"/>
    <w:qFormat/>
    <w:uiPriority w:val="0"/>
    <w:rPr>
      <w:rFonts w:ascii="Arial" w:hAnsi="Arial" w:eastAsia="黑体"/>
      <w:b/>
      <w:spacing w:val="-2"/>
      <w:kern w:val="2"/>
      <w:position w:val="-6"/>
      <w:sz w:val="24"/>
    </w:rPr>
  </w:style>
  <w:style w:type="character" w:customStyle="1" w:styleId="78">
    <w:name w:val="标题 7 字符"/>
    <w:basedOn w:val="55"/>
    <w:link w:val="9"/>
    <w:qFormat/>
    <w:uiPriority w:val="0"/>
    <w:rPr>
      <w:rFonts w:ascii="宋体"/>
      <w:b/>
      <w:spacing w:val="-2"/>
      <w:kern w:val="2"/>
      <w:position w:val="-6"/>
      <w:sz w:val="24"/>
      <w:szCs w:val="26"/>
    </w:rPr>
  </w:style>
  <w:style w:type="character" w:customStyle="1" w:styleId="79">
    <w:name w:val="标题 8 字符"/>
    <w:basedOn w:val="55"/>
    <w:link w:val="10"/>
    <w:qFormat/>
    <w:uiPriority w:val="0"/>
    <w:rPr>
      <w:rFonts w:ascii="Arial" w:hAnsi="Arial" w:eastAsia="黑体"/>
      <w:spacing w:val="-2"/>
      <w:kern w:val="2"/>
      <w:position w:val="-6"/>
      <w:sz w:val="24"/>
    </w:rPr>
  </w:style>
  <w:style w:type="character" w:customStyle="1" w:styleId="80">
    <w:name w:val="标题 9 字符"/>
    <w:basedOn w:val="55"/>
    <w:link w:val="11"/>
    <w:qFormat/>
    <w:uiPriority w:val="0"/>
    <w:rPr>
      <w:rFonts w:ascii="Arial" w:hAnsi="Arial" w:eastAsia="黑体"/>
      <w:spacing w:val="-2"/>
      <w:kern w:val="2"/>
      <w:position w:val="-6"/>
      <w:sz w:val="28"/>
    </w:rPr>
  </w:style>
  <w:style w:type="character" w:customStyle="1" w:styleId="81">
    <w:name w:val="文档结构图 字符1"/>
    <w:basedOn w:val="55"/>
    <w:link w:val="15"/>
    <w:qFormat/>
    <w:uiPriority w:val="0"/>
    <w:rPr>
      <w:kern w:val="2"/>
      <w:sz w:val="24"/>
      <w:shd w:val="clear" w:color="auto" w:fill="000080"/>
    </w:rPr>
  </w:style>
  <w:style w:type="character" w:customStyle="1" w:styleId="82">
    <w:name w:val="批注文字 字符"/>
    <w:basedOn w:val="55"/>
    <w:link w:val="17"/>
    <w:qFormat/>
    <w:uiPriority w:val="0"/>
    <w:rPr>
      <w:kern w:val="2"/>
      <w:sz w:val="24"/>
    </w:rPr>
  </w:style>
  <w:style w:type="character" w:customStyle="1" w:styleId="83">
    <w:name w:val="称呼 字符"/>
    <w:basedOn w:val="55"/>
    <w:link w:val="19"/>
    <w:qFormat/>
    <w:uiPriority w:val="0"/>
    <w:rPr>
      <w:rFonts w:ascii="Calibri" w:hAnsi="Calibri" w:eastAsia="楷体_GB2312" w:cs="Times New Roman"/>
      <w:kern w:val="2"/>
      <w:sz w:val="24"/>
      <w:szCs w:val="22"/>
    </w:rPr>
  </w:style>
  <w:style w:type="character" w:customStyle="1" w:styleId="84">
    <w:name w:val="正文文本 字符1"/>
    <w:basedOn w:val="55"/>
    <w:link w:val="2"/>
    <w:qFormat/>
    <w:uiPriority w:val="0"/>
    <w:rPr>
      <w:kern w:val="2"/>
      <w:sz w:val="24"/>
    </w:rPr>
  </w:style>
  <w:style w:type="character" w:customStyle="1" w:styleId="85">
    <w:name w:val="纯文本 字符"/>
    <w:basedOn w:val="55"/>
    <w:link w:val="26"/>
    <w:qFormat/>
    <w:uiPriority w:val="0"/>
    <w:rPr>
      <w:rFonts w:ascii="宋体" w:hAnsi="Courier New" w:cs="Courier New"/>
      <w:kern w:val="2"/>
      <w:sz w:val="21"/>
      <w:szCs w:val="21"/>
    </w:rPr>
  </w:style>
  <w:style w:type="character" w:customStyle="1" w:styleId="86">
    <w:name w:val="日期 字符"/>
    <w:basedOn w:val="55"/>
    <w:link w:val="29"/>
    <w:qFormat/>
    <w:uiPriority w:val="99"/>
    <w:rPr>
      <w:rFonts w:ascii="宋体" w:hAnsi="宋体" w:eastAsia="楷体_GB2312" w:cs="Times New Roman"/>
      <w:kern w:val="2"/>
      <w:sz w:val="24"/>
      <w:szCs w:val="22"/>
    </w:rPr>
  </w:style>
  <w:style w:type="character" w:customStyle="1" w:styleId="87">
    <w:name w:val="正文文本缩进 2 字符"/>
    <w:basedOn w:val="55"/>
    <w:link w:val="30"/>
    <w:qFormat/>
    <w:uiPriority w:val="0"/>
    <w:rPr>
      <w:kern w:val="2"/>
      <w:sz w:val="24"/>
    </w:rPr>
  </w:style>
  <w:style w:type="character" w:customStyle="1" w:styleId="88">
    <w:name w:val="批注框文本 字符1"/>
    <w:basedOn w:val="55"/>
    <w:link w:val="31"/>
    <w:qFormat/>
    <w:uiPriority w:val="99"/>
    <w:rPr>
      <w:kern w:val="2"/>
      <w:sz w:val="18"/>
      <w:szCs w:val="18"/>
    </w:rPr>
  </w:style>
  <w:style w:type="character" w:customStyle="1" w:styleId="89">
    <w:name w:val="页脚 字符1"/>
    <w:link w:val="32"/>
    <w:qFormat/>
    <w:locked/>
    <w:uiPriority w:val="99"/>
    <w:rPr>
      <w:rFonts w:ascii="Times New Roman" w:hAnsi="Times New Roman" w:eastAsia="宋体" w:cs="Times New Roman"/>
      <w:sz w:val="18"/>
      <w:szCs w:val="18"/>
    </w:rPr>
  </w:style>
  <w:style w:type="character" w:customStyle="1" w:styleId="90">
    <w:name w:val="页眉 字符1"/>
    <w:link w:val="33"/>
    <w:qFormat/>
    <w:locked/>
    <w:uiPriority w:val="99"/>
    <w:rPr>
      <w:rFonts w:ascii="Times New Roman" w:hAnsi="Times New Roman" w:eastAsia="宋体" w:cs="Times New Roman"/>
      <w:kern w:val="0"/>
      <w:sz w:val="18"/>
      <w:szCs w:val="18"/>
    </w:rPr>
  </w:style>
  <w:style w:type="character" w:customStyle="1" w:styleId="91">
    <w:name w:val="签名 字符"/>
    <w:basedOn w:val="55"/>
    <w:link w:val="34"/>
    <w:qFormat/>
    <w:uiPriority w:val="0"/>
    <w:rPr>
      <w:rFonts w:ascii="Calibri" w:hAnsi="Calibri" w:eastAsia="仿宋_GB2312" w:cs="Times New Roman"/>
      <w:kern w:val="2"/>
      <w:sz w:val="24"/>
      <w:szCs w:val="22"/>
    </w:rPr>
  </w:style>
  <w:style w:type="character" w:customStyle="1" w:styleId="92">
    <w:name w:val="脚注文本 字符"/>
    <w:basedOn w:val="55"/>
    <w:link w:val="39"/>
    <w:qFormat/>
    <w:uiPriority w:val="0"/>
    <w:rPr>
      <w:rFonts w:ascii="Calibri" w:hAnsi="Calibri" w:eastAsia="楷体_GB2312" w:cs="Times New Roman"/>
      <w:kern w:val="2"/>
      <w:sz w:val="18"/>
      <w:szCs w:val="22"/>
    </w:rPr>
  </w:style>
  <w:style w:type="character" w:customStyle="1" w:styleId="93">
    <w:name w:val="HTML 预设格式 字符"/>
    <w:basedOn w:val="55"/>
    <w:link w:val="47"/>
    <w:qFormat/>
    <w:uiPriority w:val="0"/>
    <w:rPr>
      <w:rFonts w:ascii="黑体" w:hAnsi="Courier New" w:eastAsia="黑体" w:cs="楷体_GB2312"/>
      <w:kern w:val="2"/>
      <w:sz w:val="21"/>
      <w:szCs w:val="22"/>
    </w:rPr>
  </w:style>
  <w:style w:type="character" w:customStyle="1" w:styleId="94">
    <w:name w:val="批注主题 字符"/>
    <w:basedOn w:val="82"/>
    <w:link w:val="50"/>
    <w:qFormat/>
    <w:uiPriority w:val="0"/>
    <w:rPr>
      <w:b/>
      <w:bCs/>
      <w:kern w:val="2"/>
      <w:sz w:val="24"/>
    </w:rPr>
  </w:style>
  <w:style w:type="character" w:customStyle="1" w:styleId="95">
    <w:name w:val="正文首行缩进 字符"/>
    <w:basedOn w:val="84"/>
    <w:link w:val="51"/>
    <w:qFormat/>
    <w:uiPriority w:val="99"/>
    <w:rPr>
      <w:kern w:val="2"/>
      <w:sz w:val="21"/>
      <w:szCs w:val="22"/>
    </w:rPr>
  </w:style>
  <w:style w:type="character" w:customStyle="1" w:styleId="96">
    <w:name w:val="标题 2 Char"/>
    <w:basedOn w:val="55"/>
    <w:qFormat/>
    <w:uiPriority w:val="0"/>
    <w:rPr>
      <w:rFonts w:ascii="Cambria" w:hAnsi="Cambria" w:eastAsia="宋体" w:cs="Times New Roman"/>
      <w:b/>
      <w:bCs/>
      <w:sz w:val="32"/>
      <w:szCs w:val="32"/>
    </w:rPr>
  </w:style>
  <w:style w:type="character" w:customStyle="1" w:styleId="97">
    <w:name w:val="正文首行缩进 2 Char"/>
    <w:basedOn w:val="69"/>
    <w:qFormat/>
    <w:uiPriority w:val="99"/>
    <w:rPr>
      <w:rFonts w:ascii="Times New Roman" w:hAnsi="Times New Roman" w:eastAsia="宋体" w:cs="Times New Roman"/>
      <w:szCs w:val="21"/>
    </w:rPr>
  </w:style>
  <w:style w:type="character" w:customStyle="1" w:styleId="98">
    <w:name w:val="页脚 Char"/>
    <w:basedOn w:val="55"/>
    <w:qFormat/>
    <w:uiPriority w:val="99"/>
    <w:rPr>
      <w:rFonts w:ascii="Times New Roman" w:hAnsi="Times New Roman" w:eastAsia="宋体" w:cs="Times New Roman"/>
      <w:sz w:val="18"/>
      <w:szCs w:val="18"/>
    </w:rPr>
  </w:style>
  <w:style w:type="character" w:customStyle="1" w:styleId="99">
    <w:name w:val="页眉 Char"/>
    <w:basedOn w:val="55"/>
    <w:qFormat/>
    <w:uiPriority w:val="99"/>
    <w:rPr>
      <w:rFonts w:ascii="Times New Roman" w:hAnsi="Times New Roman" w:eastAsia="宋体" w:cs="Times New Roman"/>
      <w:sz w:val="18"/>
      <w:szCs w:val="18"/>
    </w:rPr>
  </w:style>
  <w:style w:type="paragraph" w:customStyle="1" w:styleId="100">
    <w:name w:val="正文（缩进）"/>
    <w:basedOn w:val="1"/>
    <w:qFormat/>
    <w:uiPriority w:val="0"/>
    <w:pPr>
      <w:spacing w:before="156" w:after="156"/>
      <w:ind w:firstLine="480" w:firstLineChars="200"/>
    </w:pPr>
    <w:rPr>
      <w:rFonts w:eastAsia="楷体_GB2312"/>
      <w:sz w:val="26"/>
      <w:szCs w:val="26"/>
    </w:rPr>
  </w:style>
  <w:style w:type="character" w:customStyle="1" w:styleId="101">
    <w:name w:val="breadcrumb"/>
    <w:basedOn w:val="55"/>
    <w:qFormat/>
    <w:uiPriority w:val="0"/>
  </w:style>
  <w:style w:type="paragraph" w:customStyle="1" w:styleId="102">
    <w:name w:val="Char"/>
    <w:basedOn w:val="1"/>
    <w:qFormat/>
    <w:uiPriority w:val="0"/>
    <w:pPr>
      <w:tabs>
        <w:tab w:val="left" w:pos="432"/>
      </w:tabs>
      <w:spacing w:beforeLines="50" w:afterLines="50"/>
      <w:ind w:left="432" w:hanging="432"/>
    </w:pPr>
    <w:rPr>
      <w:sz w:val="24"/>
      <w:szCs w:val="24"/>
    </w:rPr>
  </w:style>
  <w:style w:type="paragraph" w:customStyle="1" w:styleId="103">
    <w:name w:val="Char11"/>
    <w:basedOn w:val="1"/>
    <w:qFormat/>
    <w:uiPriority w:val="0"/>
    <w:rPr>
      <w:rFonts w:ascii="Tahoma" w:hAnsi="Tahoma" w:cs="仿宋_GB2312"/>
      <w:sz w:val="24"/>
      <w:szCs w:val="28"/>
    </w:rPr>
  </w:style>
  <w:style w:type="paragraph" w:customStyle="1" w:styleId="104">
    <w:name w:val="Char Char Char"/>
    <w:basedOn w:val="1"/>
    <w:qFormat/>
    <w:uiPriority w:val="0"/>
    <w:rPr>
      <w:rFonts w:ascii="Tahoma" w:hAnsi="Tahoma"/>
      <w:sz w:val="24"/>
      <w:szCs w:val="20"/>
    </w:rPr>
  </w:style>
  <w:style w:type="paragraph" w:styleId="105">
    <w:name w:val="List Paragraph"/>
    <w:basedOn w:val="1"/>
    <w:qFormat/>
    <w:uiPriority w:val="99"/>
    <w:pPr>
      <w:ind w:firstLine="420" w:firstLineChars="200"/>
    </w:pPr>
    <w:rPr>
      <w:sz w:val="24"/>
      <w:szCs w:val="20"/>
    </w:rPr>
  </w:style>
  <w:style w:type="paragraph" w:customStyle="1" w:styleId="106">
    <w:name w:val="样式1"/>
    <w:basedOn w:val="1"/>
    <w:link w:val="107"/>
    <w:qFormat/>
    <w:uiPriority w:val="0"/>
    <w:pPr>
      <w:spacing w:line="320" w:lineRule="exact"/>
    </w:pPr>
    <w:rPr>
      <w:rFonts w:ascii="宋体" w:hAnsi="宋体"/>
      <w:spacing w:val="-2"/>
      <w:sz w:val="23"/>
      <w:szCs w:val="23"/>
    </w:rPr>
  </w:style>
  <w:style w:type="character" w:customStyle="1" w:styleId="107">
    <w:name w:val="样式1 Char"/>
    <w:link w:val="106"/>
    <w:qFormat/>
    <w:uiPriority w:val="0"/>
    <w:rPr>
      <w:rFonts w:ascii="宋体" w:hAnsi="宋体"/>
      <w:spacing w:val="-2"/>
      <w:kern w:val="2"/>
      <w:sz w:val="23"/>
      <w:szCs w:val="23"/>
    </w:rPr>
  </w:style>
  <w:style w:type="character" w:customStyle="1" w:styleId="108">
    <w:name w:val="apple-style-span"/>
    <w:basedOn w:val="55"/>
    <w:qFormat/>
    <w:uiPriority w:val="0"/>
  </w:style>
  <w:style w:type="character" w:customStyle="1" w:styleId="109">
    <w:name w:val="line181"/>
    <w:basedOn w:val="55"/>
    <w:qFormat/>
    <w:uiPriority w:val="0"/>
  </w:style>
  <w:style w:type="paragraph" w:customStyle="1" w:styleId="110">
    <w:name w:val="_Style 52"/>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1">
    <w:name w:val="yiyi21"/>
    <w:qFormat/>
    <w:uiPriority w:val="0"/>
    <w:rPr>
      <w:color w:val="003300"/>
      <w:spacing w:val="320"/>
      <w:sz w:val="18"/>
      <w:szCs w:val="18"/>
      <w:u w:val="none"/>
    </w:rPr>
  </w:style>
  <w:style w:type="paragraph" w:customStyle="1" w:styleId="112">
    <w:name w:val="Char1"/>
    <w:basedOn w:val="1"/>
    <w:qFormat/>
    <w:uiPriority w:val="0"/>
    <w:rPr>
      <w:rFonts w:ascii="Tahoma" w:hAnsi="Tahoma" w:cs="仿宋_GB2312"/>
      <w:sz w:val="24"/>
      <w:szCs w:val="28"/>
    </w:rPr>
  </w:style>
  <w:style w:type="paragraph" w:customStyle="1" w:styleId="113">
    <w:name w:val="默认段落字体 Para Char"/>
    <w:basedOn w:val="1"/>
    <w:qFormat/>
    <w:uiPriority w:val="0"/>
    <w:rPr>
      <w:szCs w:val="20"/>
    </w:rPr>
  </w:style>
  <w:style w:type="character" w:customStyle="1" w:styleId="114">
    <w:name w:val="search_content"/>
    <w:basedOn w:val="55"/>
    <w:qFormat/>
    <w:uiPriority w:val="0"/>
  </w:style>
  <w:style w:type="paragraph" w:customStyle="1" w:styleId="115">
    <w:name w:val="p0"/>
    <w:basedOn w:val="1"/>
    <w:qFormat/>
    <w:uiPriority w:val="0"/>
    <w:pPr>
      <w:widowControl/>
    </w:pPr>
    <w:rPr>
      <w:kern w:val="0"/>
      <w:szCs w:val="20"/>
    </w:rPr>
  </w:style>
  <w:style w:type="character" w:customStyle="1" w:styleId="116">
    <w:name w:val="Char Char1"/>
    <w:qFormat/>
    <w:uiPriority w:val="0"/>
    <w:rPr>
      <w:rFonts w:eastAsia="宋体"/>
      <w:kern w:val="2"/>
      <w:sz w:val="24"/>
      <w:lang w:val="en-US" w:eastAsia="zh-CN" w:bidi="ar-SA"/>
    </w:rPr>
  </w:style>
  <w:style w:type="character" w:customStyle="1" w:styleId="117">
    <w:name w:val="hj-221"/>
    <w:qFormat/>
    <w:uiPriority w:val="0"/>
    <w:rPr>
      <w:rFonts w:hint="default" w:ascii="Arial" w:hAnsi="Arial" w:cs="Arial"/>
      <w:sz w:val="18"/>
      <w:szCs w:val="18"/>
    </w:rPr>
  </w:style>
  <w:style w:type="character" w:customStyle="1" w:styleId="118">
    <w:name w:val="keyword1"/>
    <w:qFormat/>
    <w:uiPriority w:val="0"/>
    <w:rPr>
      <w:color w:val="FF0000"/>
    </w:rPr>
  </w:style>
  <w:style w:type="character" w:customStyle="1" w:styleId="119">
    <w:name w:val="keyword"/>
    <w:basedOn w:val="55"/>
    <w:qFormat/>
    <w:uiPriority w:val="0"/>
  </w:style>
  <w:style w:type="paragraph" w:customStyle="1" w:styleId="120">
    <w:name w:val="Char Char Char Char Char Char Char"/>
    <w:basedOn w:val="1"/>
    <w:qFormat/>
    <w:uiPriority w:val="0"/>
    <w:pPr>
      <w:tabs>
        <w:tab w:val="left" w:pos="432"/>
      </w:tabs>
      <w:ind w:left="432" w:hanging="432"/>
    </w:pPr>
    <w:rPr>
      <w:rFonts w:ascii="Tahoma" w:hAnsi="Tahoma"/>
      <w:sz w:val="24"/>
      <w:szCs w:val="20"/>
    </w:rPr>
  </w:style>
  <w:style w:type="paragraph" w:customStyle="1" w:styleId="121">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22">
    <w:name w:val="_Style 28"/>
    <w:basedOn w:val="1"/>
    <w:qFormat/>
    <w:uiPriority w:val="0"/>
    <w:pPr>
      <w:snapToGrid w:val="0"/>
      <w:spacing w:line="440" w:lineRule="atLeast"/>
    </w:pPr>
    <w:rPr>
      <w:sz w:val="24"/>
      <w:szCs w:val="20"/>
    </w:rPr>
  </w:style>
  <w:style w:type="paragraph" w:customStyle="1" w:styleId="123">
    <w:name w:val="Char Char2 Char Char Char Char1 Char Char Char Char"/>
    <w:basedOn w:val="1"/>
    <w:qFormat/>
    <w:uiPriority w:val="0"/>
    <w:rPr>
      <w:sz w:val="24"/>
      <w:szCs w:val="20"/>
    </w:rPr>
  </w:style>
  <w:style w:type="paragraph" w:customStyle="1" w:styleId="124">
    <w:name w:val="正文居中"/>
    <w:basedOn w:val="1"/>
    <w:qFormat/>
    <w:uiPriority w:val="0"/>
    <w:pPr>
      <w:spacing w:line="360" w:lineRule="exact"/>
      <w:ind w:left="874" w:hanging="420"/>
      <w:jc w:val="center"/>
    </w:pPr>
    <w:rPr>
      <w:szCs w:val="20"/>
    </w:rPr>
  </w:style>
  <w:style w:type="paragraph" w:customStyle="1" w:styleId="125">
    <w:name w:val="列出段落1"/>
    <w:basedOn w:val="1"/>
    <w:qFormat/>
    <w:uiPriority w:val="34"/>
    <w:pPr>
      <w:ind w:firstLine="420" w:firstLineChars="200"/>
    </w:pPr>
    <w:rPr>
      <w:rFonts w:ascii="Calibri" w:hAnsi="Calibri"/>
      <w:szCs w:val="24"/>
    </w:rPr>
  </w:style>
  <w:style w:type="character" w:customStyle="1" w:styleId="126">
    <w:name w:val="ft_ptt"/>
    <w:qFormat/>
    <w:uiPriority w:val="0"/>
  </w:style>
  <w:style w:type="paragraph" w:customStyle="1" w:styleId="127">
    <w:name w:val="a"/>
    <w:basedOn w:val="1"/>
    <w:qFormat/>
    <w:uiPriority w:val="0"/>
    <w:pPr>
      <w:widowControl/>
      <w:spacing w:after="150"/>
      <w:jc w:val="left"/>
    </w:pPr>
    <w:rPr>
      <w:rFonts w:ascii="宋体" w:hAnsi="宋体" w:cs="宋体"/>
      <w:kern w:val="0"/>
      <w:sz w:val="24"/>
      <w:szCs w:val="24"/>
    </w:rPr>
  </w:style>
  <w:style w:type="paragraph" w:styleId="128">
    <w:name w:val="No Spacing"/>
    <w:link w:val="129"/>
    <w:qFormat/>
    <w:uiPriority w:val="99"/>
    <w:pPr>
      <w:widowControl w:val="0"/>
      <w:jc w:val="both"/>
    </w:pPr>
    <w:rPr>
      <w:rFonts w:ascii="Times New Roman" w:hAnsi="Times New Roman" w:eastAsia="宋体" w:cs="Times New Roman"/>
      <w:kern w:val="2"/>
      <w:sz w:val="24"/>
      <w:lang w:val="en-US" w:eastAsia="zh-CN" w:bidi="ar-SA"/>
    </w:rPr>
  </w:style>
  <w:style w:type="character" w:customStyle="1" w:styleId="129">
    <w:name w:val="无间隔 字符"/>
    <w:link w:val="128"/>
    <w:qFormat/>
    <w:uiPriority w:val="99"/>
    <w:rPr>
      <w:kern w:val="2"/>
      <w:sz w:val="24"/>
    </w:rPr>
  </w:style>
  <w:style w:type="paragraph" w:customStyle="1" w:styleId="13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32">
    <w:name w:val="Char Char2"/>
    <w:qFormat/>
    <w:uiPriority w:val="0"/>
    <w:rPr>
      <w:rFonts w:ascii="宋体" w:hAnsi="宋体" w:eastAsia="楷体_GB2312"/>
      <w:b/>
      <w:kern w:val="2"/>
      <w:sz w:val="26"/>
      <w:lang w:val="en-US" w:eastAsia="zh-CN" w:bidi="ar-SA"/>
    </w:rPr>
  </w:style>
  <w:style w:type="character" w:customStyle="1" w:styleId="133">
    <w:name w:val="font51"/>
    <w:qFormat/>
    <w:uiPriority w:val="0"/>
    <w:rPr>
      <w:rFonts w:hint="eastAsia" w:ascii="宋体" w:hAnsi="宋体" w:eastAsia="宋体" w:cs="宋体"/>
      <w:b/>
      <w:color w:val="000000"/>
      <w:sz w:val="21"/>
      <w:szCs w:val="21"/>
      <w:u w:val="none"/>
    </w:rPr>
  </w:style>
  <w:style w:type="character" w:customStyle="1" w:styleId="134">
    <w:name w:val="hilite6"/>
    <w:qFormat/>
    <w:uiPriority w:val="0"/>
    <w:rPr>
      <w:color w:val="FFFFFF"/>
      <w:shd w:val="clear" w:color="auto" w:fill="776666"/>
    </w:rPr>
  </w:style>
  <w:style w:type="character" w:customStyle="1" w:styleId="135">
    <w:name w:val="font101"/>
    <w:qFormat/>
    <w:uiPriority w:val="0"/>
    <w:rPr>
      <w:rFonts w:hint="eastAsia" w:ascii="微软雅黑" w:hAnsi="微软雅黑" w:eastAsia="微软雅黑" w:cs="微软雅黑"/>
      <w:color w:val="000000"/>
      <w:sz w:val="20"/>
      <w:szCs w:val="20"/>
      <w:u w:val="none"/>
      <w:vertAlign w:val="superscript"/>
    </w:rPr>
  </w:style>
  <w:style w:type="character" w:customStyle="1" w:styleId="136">
    <w:name w:val="bds_more8"/>
    <w:qFormat/>
    <w:uiPriority w:val="0"/>
    <w:rPr>
      <w:rFonts w:hint="eastAsia" w:ascii="宋体" w:hAnsi="宋体" w:eastAsia="宋体" w:cs="宋体"/>
    </w:rPr>
  </w:style>
  <w:style w:type="character" w:customStyle="1" w:styleId="137">
    <w:name w:val="grid2"/>
    <w:basedOn w:val="55"/>
    <w:qFormat/>
    <w:uiPriority w:val="0"/>
  </w:style>
  <w:style w:type="character" w:customStyle="1" w:styleId="138">
    <w:name w:val="font121"/>
    <w:qFormat/>
    <w:uiPriority w:val="0"/>
    <w:rPr>
      <w:rFonts w:hint="eastAsia" w:ascii="宋体" w:hAnsi="宋体" w:eastAsia="宋体" w:cs="宋体"/>
      <w:color w:val="000000"/>
      <w:sz w:val="21"/>
      <w:szCs w:val="21"/>
      <w:u w:val="none"/>
    </w:rPr>
  </w:style>
  <w:style w:type="character" w:customStyle="1" w:styleId="139">
    <w:name w:val="font11"/>
    <w:qFormat/>
    <w:uiPriority w:val="0"/>
    <w:rPr>
      <w:rFonts w:hint="eastAsia" w:ascii="宋体" w:hAnsi="宋体" w:eastAsia="宋体" w:cs="宋体"/>
      <w:b/>
      <w:color w:val="000000"/>
      <w:sz w:val="24"/>
      <w:szCs w:val="24"/>
      <w:u w:val="none"/>
    </w:rPr>
  </w:style>
  <w:style w:type="character" w:customStyle="1" w:styleId="140">
    <w:name w:val="state"/>
    <w:qFormat/>
    <w:uiPriority w:val="0"/>
    <w:rPr>
      <w:b/>
      <w:color w:val="FFFFFF"/>
      <w:sz w:val="19"/>
      <w:szCs w:val="19"/>
    </w:rPr>
  </w:style>
  <w:style w:type="character" w:customStyle="1" w:styleId="141">
    <w:name w:val="bds_more6"/>
    <w:basedOn w:val="55"/>
    <w:qFormat/>
    <w:uiPriority w:val="0"/>
  </w:style>
  <w:style w:type="character" w:customStyle="1" w:styleId="142">
    <w:name w:val="正文文本缩进 Char1"/>
    <w:qFormat/>
    <w:uiPriority w:val="0"/>
    <w:rPr>
      <w:rFonts w:ascii="Calibri" w:hAnsi="Calibri" w:eastAsia="楷体_GB2312"/>
      <w:kern w:val="2"/>
      <w:sz w:val="26"/>
      <w:szCs w:val="26"/>
    </w:rPr>
  </w:style>
  <w:style w:type="character" w:customStyle="1" w:styleId="143">
    <w:name w:val="font12"/>
    <w:qFormat/>
    <w:uiPriority w:val="0"/>
    <w:rPr>
      <w:rFonts w:hint="eastAsia" w:ascii="宋体" w:hAnsi="宋体" w:eastAsia="宋体" w:cs="宋体"/>
      <w:color w:val="000000"/>
      <w:sz w:val="20"/>
      <w:szCs w:val="20"/>
      <w:u w:val="none"/>
    </w:rPr>
  </w:style>
  <w:style w:type="character" w:customStyle="1" w:styleId="144">
    <w:name w:val="bds_more5"/>
    <w:basedOn w:val="55"/>
    <w:qFormat/>
    <w:uiPriority w:val="0"/>
  </w:style>
  <w:style w:type="character" w:customStyle="1" w:styleId="145">
    <w:name w:val="hover61"/>
    <w:qFormat/>
    <w:uiPriority w:val="0"/>
    <w:rPr>
      <w:shd w:val="clear" w:color="auto" w:fill="FF0000"/>
    </w:rPr>
  </w:style>
  <w:style w:type="character" w:customStyle="1" w:styleId="146">
    <w:name w:val="font81"/>
    <w:qFormat/>
    <w:uiPriority w:val="0"/>
    <w:rPr>
      <w:rFonts w:hint="eastAsia" w:ascii="宋体" w:hAnsi="宋体" w:eastAsia="宋体" w:cs="宋体"/>
      <w:color w:val="000000"/>
      <w:sz w:val="20"/>
      <w:szCs w:val="20"/>
      <w:u w:val="none"/>
    </w:rPr>
  </w:style>
  <w:style w:type="character" w:customStyle="1" w:styleId="147">
    <w:name w:val="font131"/>
    <w:qFormat/>
    <w:uiPriority w:val="0"/>
    <w:rPr>
      <w:rFonts w:hint="default" w:ascii="Times New Roman" w:hAnsi="Times New Roman" w:cs="Times New Roman"/>
      <w:color w:val="000000"/>
      <w:sz w:val="22"/>
      <w:szCs w:val="22"/>
      <w:u w:val="none"/>
    </w:rPr>
  </w:style>
  <w:style w:type="character" w:customStyle="1" w:styleId="148">
    <w:name w:val="active8"/>
    <w:qFormat/>
    <w:uiPriority w:val="0"/>
    <w:rPr>
      <w:color w:val="00FF00"/>
      <w:shd w:val="clear" w:color="auto" w:fill="000000"/>
    </w:rPr>
  </w:style>
  <w:style w:type="character" w:customStyle="1" w:styleId="149">
    <w:name w:val="grid"/>
    <w:basedOn w:val="55"/>
    <w:qFormat/>
    <w:uiPriority w:val="0"/>
  </w:style>
  <w:style w:type="character" w:customStyle="1" w:styleId="150">
    <w:name w:val="bds_nopic"/>
    <w:basedOn w:val="55"/>
    <w:qFormat/>
    <w:uiPriority w:val="0"/>
  </w:style>
  <w:style w:type="character" w:customStyle="1" w:styleId="151">
    <w:name w:val="font21"/>
    <w:qFormat/>
    <w:uiPriority w:val="0"/>
    <w:rPr>
      <w:rFonts w:hint="default" w:ascii="Times New Roman" w:hAnsi="Times New Roman" w:cs="Times New Roman"/>
      <w:color w:val="000000"/>
      <w:sz w:val="24"/>
      <w:szCs w:val="24"/>
      <w:u w:val="none"/>
    </w:rPr>
  </w:style>
  <w:style w:type="character" w:customStyle="1" w:styleId="152">
    <w:name w:val="bds_more7"/>
    <w:basedOn w:val="55"/>
    <w:qFormat/>
    <w:uiPriority w:val="0"/>
  </w:style>
  <w:style w:type="character" w:customStyle="1" w:styleId="153">
    <w:name w:val="bds_nopic1"/>
    <w:basedOn w:val="55"/>
    <w:qFormat/>
    <w:uiPriority w:val="0"/>
  </w:style>
  <w:style w:type="character" w:customStyle="1" w:styleId="154">
    <w:name w:val="noused"/>
    <w:qFormat/>
    <w:uiPriority w:val="0"/>
    <w:rPr>
      <w:b/>
      <w:color w:val="FFFFFF"/>
      <w:sz w:val="21"/>
      <w:szCs w:val="21"/>
    </w:rPr>
  </w:style>
  <w:style w:type="character" w:customStyle="1" w:styleId="155">
    <w:name w:val="font71"/>
    <w:qFormat/>
    <w:uiPriority w:val="0"/>
    <w:rPr>
      <w:rFonts w:ascii="Tahoma" w:hAnsi="Tahoma" w:eastAsia="Tahoma" w:cs="Tahoma"/>
      <w:color w:val="000000"/>
      <w:sz w:val="21"/>
      <w:szCs w:val="21"/>
      <w:u w:val="none"/>
    </w:rPr>
  </w:style>
  <w:style w:type="character" w:customStyle="1" w:styleId="156">
    <w:name w:val="font122"/>
    <w:qFormat/>
    <w:uiPriority w:val="0"/>
    <w:rPr>
      <w:rFonts w:hint="eastAsia" w:ascii="宋体" w:hAnsi="宋体" w:eastAsia="宋体" w:cs="宋体"/>
      <w:color w:val="000000"/>
      <w:sz w:val="22"/>
      <w:szCs w:val="22"/>
      <w:u w:val="none"/>
    </w:rPr>
  </w:style>
  <w:style w:type="character" w:customStyle="1" w:styleId="157">
    <w:name w:val="正文缩进2格 Char Char"/>
    <w:link w:val="158"/>
    <w:qFormat/>
    <w:uiPriority w:val="0"/>
    <w:rPr>
      <w:rFonts w:ascii="仿宋_GB2312" w:hAnsi="宋体" w:eastAsia="仿宋_GB2312"/>
      <w:sz w:val="31"/>
      <w:szCs w:val="28"/>
    </w:rPr>
  </w:style>
  <w:style w:type="paragraph" w:customStyle="1" w:styleId="158">
    <w:name w:val="正文缩进2格"/>
    <w:basedOn w:val="1"/>
    <w:link w:val="157"/>
    <w:qFormat/>
    <w:uiPriority w:val="0"/>
    <w:pPr>
      <w:spacing w:line="600" w:lineRule="exact"/>
      <w:ind w:firstLine="639" w:firstLineChars="206"/>
    </w:pPr>
    <w:rPr>
      <w:rFonts w:ascii="仿宋_GB2312" w:hAnsi="宋体" w:eastAsia="仿宋_GB2312"/>
      <w:kern w:val="0"/>
      <w:sz w:val="31"/>
      <w:szCs w:val="28"/>
    </w:rPr>
  </w:style>
  <w:style w:type="character" w:customStyle="1" w:styleId="159">
    <w:name w:val="bds_nopic2"/>
    <w:basedOn w:val="55"/>
    <w:qFormat/>
    <w:uiPriority w:val="0"/>
  </w:style>
  <w:style w:type="character" w:customStyle="1" w:styleId="160">
    <w:name w:val="active"/>
    <w:qFormat/>
    <w:uiPriority w:val="0"/>
    <w:rPr>
      <w:color w:val="00FF00"/>
      <w:shd w:val="clear" w:color="auto" w:fill="000000"/>
    </w:rPr>
  </w:style>
  <w:style w:type="character" w:customStyle="1" w:styleId="161">
    <w:name w:val="other"/>
    <w:basedOn w:val="55"/>
    <w:qFormat/>
    <w:uiPriority w:val="0"/>
  </w:style>
  <w:style w:type="character" w:customStyle="1" w:styleId="162">
    <w:name w:val="font31"/>
    <w:qFormat/>
    <w:uiPriority w:val="0"/>
    <w:rPr>
      <w:rFonts w:hint="default" w:ascii="??_GB2312" w:hAnsi="??_GB2312" w:eastAsia="??_GB2312" w:cs="??_GB2312"/>
      <w:color w:val="000000"/>
      <w:sz w:val="24"/>
      <w:szCs w:val="24"/>
      <w:u w:val="none"/>
    </w:rPr>
  </w:style>
  <w:style w:type="character" w:customStyle="1" w:styleId="163">
    <w:name w:val="font41"/>
    <w:qFormat/>
    <w:uiPriority w:val="0"/>
    <w:rPr>
      <w:rFonts w:hint="eastAsia" w:ascii="宋体" w:hAnsi="宋体" w:eastAsia="宋体" w:cs="宋体"/>
      <w:color w:val="000000"/>
      <w:sz w:val="24"/>
      <w:szCs w:val="24"/>
      <w:u w:val="none"/>
    </w:rPr>
  </w:style>
  <w:style w:type="character" w:customStyle="1" w:styleId="164">
    <w:name w:val="bds_more4"/>
    <w:qFormat/>
    <w:uiPriority w:val="0"/>
    <w:rPr>
      <w:rFonts w:hint="eastAsia" w:ascii="宋体" w:hAnsi="宋体" w:eastAsia="宋体" w:cs="宋体"/>
    </w:rPr>
  </w:style>
  <w:style w:type="character" w:customStyle="1" w:styleId="165">
    <w:name w:val="hilite"/>
    <w:qFormat/>
    <w:uiPriority w:val="0"/>
    <w:rPr>
      <w:color w:val="FFFFFF"/>
      <w:shd w:val="clear" w:color="auto" w:fill="776666"/>
    </w:rPr>
  </w:style>
  <w:style w:type="character" w:customStyle="1" w:styleId="166">
    <w:name w:val="font61"/>
    <w:qFormat/>
    <w:uiPriority w:val="0"/>
    <w:rPr>
      <w:rFonts w:hint="default" w:ascii="Times New Roman" w:hAnsi="Times New Roman" w:cs="Times New Roman"/>
      <w:color w:val="000000"/>
      <w:sz w:val="20"/>
      <w:szCs w:val="20"/>
      <w:u w:val="none"/>
    </w:rPr>
  </w:style>
  <w:style w:type="character" w:customStyle="1" w:styleId="167">
    <w:name w:val="font111"/>
    <w:qFormat/>
    <w:uiPriority w:val="0"/>
    <w:rPr>
      <w:rFonts w:ascii="Arial" w:hAnsi="Arial" w:cs="Arial"/>
      <w:color w:val="000000"/>
      <w:sz w:val="20"/>
      <w:szCs w:val="20"/>
      <w:u w:val="none"/>
    </w:rPr>
  </w:style>
  <w:style w:type="character" w:customStyle="1" w:styleId="168">
    <w:name w:val="日期 Char1"/>
    <w:basedOn w:val="55"/>
    <w:semiHidden/>
    <w:qFormat/>
    <w:uiPriority w:val="99"/>
    <w:rPr>
      <w:rFonts w:ascii="Times New Roman" w:hAnsi="Times New Roman" w:eastAsia="楷体_GB2312" w:cs="Times New Roman"/>
      <w:sz w:val="26"/>
      <w:szCs w:val="26"/>
    </w:rPr>
  </w:style>
  <w:style w:type="character" w:customStyle="1" w:styleId="169">
    <w:name w:val="文档结构图 Char1"/>
    <w:basedOn w:val="55"/>
    <w:semiHidden/>
    <w:qFormat/>
    <w:uiPriority w:val="99"/>
    <w:rPr>
      <w:rFonts w:ascii="宋体" w:hAnsi="Times New Roman" w:eastAsia="宋体" w:cs="Times New Roman"/>
      <w:sz w:val="18"/>
      <w:szCs w:val="18"/>
    </w:rPr>
  </w:style>
  <w:style w:type="character" w:customStyle="1" w:styleId="170">
    <w:name w:val="称呼 Char1"/>
    <w:basedOn w:val="55"/>
    <w:semiHidden/>
    <w:qFormat/>
    <w:uiPriority w:val="99"/>
    <w:rPr>
      <w:rFonts w:ascii="Times New Roman" w:hAnsi="Times New Roman" w:eastAsia="楷体_GB2312" w:cs="Times New Roman"/>
      <w:sz w:val="26"/>
      <w:szCs w:val="26"/>
    </w:rPr>
  </w:style>
  <w:style w:type="character" w:customStyle="1" w:styleId="171">
    <w:name w:val="HTML 预设格式 Char1"/>
    <w:basedOn w:val="55"/>
    <w:semiHidden/>
    <w:qFormat/>
    <w:uiPriority w:val="99"/>
    <w:rPr>
      <w:rFonts w:ascii="Courier New" w:hAnsi="Courier New" w:eastAsia="楷体_GB2312" w:cs="Courier New"/>
      <w:sz w:val="20"/>
      <w:szCs w:val="20"/>
    </w:rPr>
  </w:style>
  <w:style w:type="character" w:customStyle="1" w:styleId="172">
    <w:name w:val="正文文本缩进 2 Char1"/>
    <w:basedOn w:val="55"/>
    <w:semiHidden/>
    <w:qFormat/>
    <w:uiPriority w:val="99"/>
    <w:rPr>
      <w:rFonts w:ascii="Times New Roman" w:hAnsi="Times New Roman" w:eastAsia="楷体_GB2312" w:cs="Times New Roman"/>
      <w:sz w:val="26"/>
      <w:szCs w:val="26"/>
    </w:rPr>
  </w:style>
  <w:style w:type="character" w:customStyle="1" w:styleId="173">
    <w:name w:val="脚注文本 Char1"/>
    <w:basedOn w:val="55"/>
    <w:semiHidden/>
    <w:qFormat/>
    <w:uiPriority w:val="99"/>
    <w:rPr>
      <w:rFonts w:ascii="Times New Roman" w:hAnsi="Times New Roman" w:eastAsia="楷体_GB2312" w:cs="Times New Roman"/>
      <w:sz w:val="18"/>
      <w:szCs w:val="18"/>
    </w:rPr>
  </w:style>
  <w:style w:type="character" w:customStyle="1" w:styleId="174">
    <w:name w:val="签名 Char1"/>
    <w:basedOn w:val="55"/>
    <w:semiHidden/>
    <w:qFormat/>
    <w:uiPriority w:val="99"/>
    <w:rPr>
      <w:rFonts w:ascii="Times New Roman" w:hAnsi="Times New Roman" w:eastAsia="楷体_GB2312" w:cs="Times New Roman"/>
      <w:sz w:val="26"/>
      <w:szCs w:val="26"/>
    </w:rPr>
  </w:style>
  <w:style w:type="character" w:customStyle="1" w:styleId="175">
    <w:name w:val="正文文本 Char1"/>
    <w:basedOn w:val="55"/>
    <w:semiHidden/>
    <w:qFormat/>
    <w:uiPriority w:val="99"/>
    <w:rPr>
      <w:rFonts w:ascii="Times New Roman" w:hAnsi="Times New Roman" w:eastAsia="楷体_GB2312" w:cs="Times New Roman"/>
      <w:sz w:val="26"/>
      <w:szCs w:val="26"/>
    </w:rPr>
  </w:style>
  <w:style w:type="character" w:customStyle="1" w:styleId="176">
    <w:name w:val="批注文字 Char1"/>
    <w:basedOn w:val="55"/>
    <w:semiHidden/>
    <w:qFormat/>
    <w:uiPriority w:val="99"/>
    <w:rPr>
      <w:rFonts w:ascii="Times New Roman" w:hAnsi="Times New Roman" w:eastAsia="楷体_GB2312" w:cs="Times New Roman"/>
      <w:sz w:val="26"/>
      <w:szCs w:val="26"/>
    </w:rPr>
  </w:style>
  <w:style w:type="character" w:customStyle="1" w:styleId="177">
    <w:name w:val="正文文本缩进 Char2"/>
    <w:basedOn w:val="55"/>
    <w:semiHidden/>
    <w:qFormat/>
    <w:uiPriority w:val="99"/>
    <w:rPr>
      <w:rFonts w:ascii="Times New Roman" w:hAnsi="Times New Roman" w:eastAsia="楷体_GB2312" w:cs="Times New Roman"/>
      <w:sz w:val="26"/>
      <w:szCs w:val="26"/>
    </w:rPr>
  </w:style>
  <w:style w:type="character" w:customStyle="1" w:styleId="178">
    <w:name w:val="批注框文本 Char1"/>
    <w:basedOn w:val="55"/>
    <w:semiHidden/>
    <w:qFormat/>
    <w:uiPriority w:val="99"/>
    <w:rPr>
      <w:rFonts w:ascii="Times New Roman" w:hAnsi="Times New Roman" w:eastAsia="楷体_GB2312" w:cs="Times New Roman"/>
      <w:sz w:val="18"/>
      <w:szCs w:val="18"/>
    </w:rPr>
  </w:style>
  <w:style w:type="character" w:customStyle="1" w:styleId="179">
    <w:name w:val="纯文本 Char1"/>
    <w:basedOn w:val="55"/>
    <w:semiHidden/>
    <w:qFormat/>
    <w:uiPriority w:val="99"/>
    <w:rPr>
      <w:rFonts w:ascii="宋体" w:hAnsi="Courier New" w:eastAsia="宋体" w:cs="Courier New"/>
      <w:szCs w:val="21"/>
    </w:rPr>
  </w:style>
  <w:style w:type="character" w:customStyle="1" w:styleId="180">
    <w:name w:val="正文文本缩进 3 Char1"/>
    <w:basedOn w:val="55"/>
    <w:semiHidden/>
    <w:qFormat/>
    <w:uiPriority w:val="99"/>
    <w:rPr>
      <w:rFonts w:ascii="Times New Roman" w:hAnsi="Times New Roman" w:eastAsia="楷体_GB2312" w:cs="Times New Roman"/>
      <w:sz w:val="16"/>
      <w:szCs w:val="16"/>
    </w:rPr>
  </w:style>
  <w:style w:type="paragraph" w:customStyle="1" w:styleId="181">
    <w:name w:val="纯文本2"/>
    <w:basedOn w:val="1"/>
    <w:qFormat/>
    <w:uiPriority w:val="0"/>
    <w:pPr>
      <w:adjustRightInd w:val="0"/>
      <w:textAlignment w:val="baseline"/>
    </w:pPr>
    <w:rPr>
      <w:rFonts w:ascii="宋体" w:hAnsi="Courier New" w:eastAsia="楷体_GB2312"/>
      <w:sz w:val="26"/>
      <w:szCs w:val="20"/>
    </w:rPr>
  </w:style>
  <w:style w:type="paragraph" w:customStyle="1" w:styleId="182">
    <w:name w:val="Char Char1 Char Char Char Char"/>
    <w:basedOn w:val="15"/>
    <w:qFormat/>
    <w:uiPriority w:val="0"/>
    <w:pPr>
      <w:adjustRightInd w:val="0"/>
      <w:snapToGrid w:val="0"/>
      <w:spacing w:line="360" w:lineRule="auto"/>
    </w:pPr>
    <w:rPr>
      <w:rFonts w:ascii="Tahoma" w:hAnsi="Tahoma" w:cs="Times New Roman"/>
      <w:szCs w:val="24"/>
    </w:rPr>
  </w:style>
  <w:style w:type="paragraph" w:customStyle="1" w:styleId="183">
    <w:name w:val="_Style 7"/>
    <w:basedOn w:val="1"/>
    <w:qFormat/>
    <w:uiPriority w:val="0"/>
    <w:pPr>
      <w:ind w:firstLine="420" w:firstLineChars="200"/>
    </w:pPr>
    <w:rPr>
      <w:sz w:val="26"/>
      <w:szCs w:val="26"/>
    </w:rPr>
  </w:style>
  <w:style w:type="paragraph" w:customStyle="1" w:styleId="184">
    <w:name w:val="纯文本1"/>
    <w:basedOn w:val="1"/>
    <w:qFormat/>
    <w:uiPriority w:val="0"/>
    <w:pPr>
      <w:adjustRightInd w:val="0"/>
      <w:textAlignment w:val="baseline"/>
    </w:pPr>
    <w:rPr>
      <w:rFonts w:ascii="宋体" w:hAnsi="Courier New" w:eastAsia="楷体_GB2312"/>
      <w:sz w:val="28"/>
      <w:szCs w:val="20"/>
    </w:rPr>
  </w:style>
  <w:style w:type="paragraph" w:customStyle="1" w:styleId="185">
    <w:name w:val="修订1"/>
    <w:unhideWhenUsed/>
    <w:qFormat/>
    <w:uiPriority w:val="99"/>
    <w:rPr>
      <w:rFonts w:ascii="Times New Roman" w:hAnsi="Times New Roman" w:eastAsia="楷体_GB2312" w:cs="Times New Roman"/>
      <w:kern w:val="2"/>
      <w:sz w:val="26"/>
      <w:szCs w:val="26"/>
      <w:lang w:val="en-US" w:eastAsia="zh-CN" w:bidi="ar-SA"/>
    </w:rPr>
  </w:style>
  <w:style w:type="paragraph" w:customStyle="1" w:styleId="186">
    <w:name w:val="Table Paragraph"/>
    <w:basedOn w:val="1"/>
    <w:qFormat/>
    <w:uiPriority w:val="1"/>
    <w:rPr>
      <w:rFonts w:eastAsia="楷体_GB2312"/>
      <w:sz w:val="26"/>
      <w:szCs w:val="26"/>
    </w:rPr>
  </w:style>
  <w:style w:type="paragraph" w:customStyle="1" w:styleId="187">
    <w:name w:val="正文2"/>
    <w:basedOn w:val="1"/>
    <w:qFormat/>
    <w:uiPriority w:val="0"/>
    <w:pPr>
      <w:adjustRightInd w:val="0"/>
      <w:spacing w:before="156" w:line="360" w:lineRule="auto"/>
      <w:ind w:firstLine="510" w:firstLineChars="200"/>
    </w:pPr>
    <w:rPr>
      <w:rFonts w:ascii="Calibri" w:hAnsi="Calibri"/>
      <w:sz w:val="24"/>
      <w:szCs w:val="22"/>
    </w:rPr>
  </w:style>
  <w:style w:type="paragraph" w:customStyle="1" w:styleId="188">
    <w:name w:val="Char Char1 Char Char Char Char Char Char Char"/>
    <w:basedOn w:val="1"/>
    <w:qFormat/>
    <w:uiPriority w:val="0"/>
    <w:rPr>
      <w:rFonts w:ascii="Tahoma" w:hAnsi="Tahoma" w:eastAsia="楷体_GB2312"/>
      <w:sz w:val="24"/>
      <w:szCs w:val="20"/>
    </w:rPr>
  </w:style>
  <w:style w:type="paragraph" w:customStyle="1" w:styleId="189">
    <w:name w:val="_Style 60"/>
    <w:next w:val="1"/>
    <w:qFormat/>
    <w:uiPriority w:val="99"/>
    <w:pPr>
      <w:widowControl w:val="0"/>
      <w:jc w:val="both"/>
    </w:pPr>
    <w:rPr>
      <w:rFonts w:ascii="Times New Roman" w:hAnsi="Times New Roman" w:eastAsia="楷体_GB2312" w:cs="Times New Roman"/>
      <w:kern w:val="2"/>
      <w:sz w:val="26"/>
      <w:szCs w:val="26"/>
      <w:lang w:val="en-US" w:eastAsia="zh-CN" w:bidi="ar-SA"/>
    </w:rPr>
  </w:style>
  <w:style w:type="paragraph" w:customStyle="1" w:styleId="19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table" w:customStyle="1" w:styleId="191">
    <w:name w:val="Table Normal"/>
    <w:unhideWhenUsed/>
    <w:qFormat/>
    <w:uiPriority w:val="2"/>
    <w:tblPr>
      <w:tblCellMar>
        <w:top w:w="0" w:type="dxa"/>
        <w:left w:w="0" w:type="dxa"/>
        <w:bottom w:w="0" w:type="dxa"/>
        <w:right w:w="0" w:type="dxa"/>
      </w:tblCellMar>
    </w:tblPr>
  </w:style>
  <w:style w:type="paragraph" w:customStyle="1" w:styleId="192">
    <w:name w:val="List Paragraph1"/>
    <w:basedOn w:val="1"/>
    <w:qFormat/>
    <w:uiPriority w:val="34"/>
    <w:pPr>
      <w:ind w:firstLine="420" w:firstLineChars="200"/>
    </w:pPr>
    <w:rPr>
      <w:rFonts w:eastAsia="楷体_GB2312"/>
      <w:sz w:val="26"/>
      <w:szCs w:val="24"/>
    </w:rPr>
  </w:style>
  <w:style w:type="character" w:customStyle="1" w:styleId="193">
    <w:name w:val="newtxt"/>
    <w:basedOn w:val="55"/>
    <w:qFormat/>
    <w:uiPriority w:val="0"/>
    <w:rPr>
      <w:vanish/>
    </w:rPr>
  </w:style>
  <w:style w:type="character" w:customStyle="1" w:styleId="194">
    <w:name w:val="item-name"/>
    <w:basedOn w:val="55"/>
    <w:qFormat/>
    <w:uiPriority w:val="0"/>
  </w:style>
  <w:style w:type="character" w:customStyle="1" w:styleId="195">
    <w:name w:val="item-name1"/>
    <w:basedOn w:val="55"/>
    <w:qFormat/>
    <w:uiPriority w:val="0"/>
  </w:style>
  <w:style w:type="character" w:customStyle="1" w:styleId="196">
    <w:name w:val="timebg"/>
    <w:basedOn w:val="55"/>
    <w:qFormat/>
    <w:uiPriority w:val="0"/>
  </w:style>
  <w:style w:type="paragraph" w:customStyle="1" w:styleId="197">
    <w:name w:val="普通(网站)1"/>
    <w:qFormat/>
    <w:uiPriority w:val="99"/>
    <w:pPr>
      <w:framePr w:wrap="around" w:vAnchor="margin" w:hAnchor="text" w:y="1"/>
      <w:widowControl w:val="0"/>
      <w:spacing w:before="100" w:after="100"/>
    </w:pPr>
    <w:rPr>
      <w:rFonts w:ascii="Calibri" w:hAnsi="Calibri" w:eastAsia="Calibri" w:cs="Calibri"/>
      <w:color w:val="000000"/>
      <w:sz w:val="24"/>
      <w:szCs w:val="24"/>
      <w:lang w:val="en-US" w:eastAsia="zh-CN" w:bidi="ar-SA"/>
    </w:rPr>
  </w:style>
  <w:style w:type="table" w:customStyle="1" w:styleId="198">
    <w:name w:val="网格型1"/>
    <w:basedOn w:val="5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9">
    <w:name w:val="标题 2 字符"/>
    <w:qFormat/>
    <w:uiPriority w:val="0"/>
    <w:rPr>
      <w:rFonts w:ascii="Arial" w:hAnsi="Arial" w:eastAsia="黑体"/>
      <w:b/>
      <w:bCs/>
      <w:kern w:val="2"/>
      <w:sz w:val="32"/>
      <w:szCs w:val="32"/>
      <w:lang w:val="en-US" w:eastAsia="zh-CN" w:bidi="ar-SA"/>
    </w:rPr>
  </w:style>
  <w:style w:type="character" w:customStyle="1" w:styleId="200">
    <w:name w:val="标题 3 字符"/>
    <w:qFormat/>
    <w:uiPriority w:val="0"/>
    <w:rPr>
      <w:rFonts w:ascii="黑体" w:hAnsi="黑体" w:eastAsia="黑体"/>
      <w:bCs/>
      <w:spacing w:val="-2"/>
      <w:kern w:val="2"/>
      <w:sz w:val="30"/>
      <w:szCs w:val="30"/>
    </w:rPr>
  </w:style>
  <w:style w:type="character" w:customStyle="1" w:styleId="201">
    <w:name w:val="文档结构图 字符"/>
    <w:semiHidden/>
    <w:qFormat/>
    <w:uiPriority w:val="99"/>
    <w:rPr>
      <w:kern w:val="2"/>
      <w:sz w:val="24"/>
      <w:shd w:val="clear" w:color="auto" w:fill="000080"/>
    </w:rPr>
  </w:style>
  <w:style w:type="character" w:customStyle="1" w:styleId="202">
    <w:name w:val="正文文本 字符"/>
    <w:qFormat/>
    <w:uiPriority w:val="0"/>
    <w:rPr>
      <w:rFonts w:eastAsia="宋体"/>
      <w:kern w:val="2"/>
      <w:sz w:val="24"/>
      <w:lang w:val="en-US" w:eastAsia="zh-CN" w:bidi="ar-SA"/>
    </w:rPr>
  </w:style>
  <w:style w:type="character" w:customStyle="1" w:styleId="203">
    <w:name w:val="正文文本缩进 字符"/>
    <w:qFormat/>
    <w:uiPriority w:val="0"/>
    <w:rPr>
      <w:rFonts w:eastAsia="宋体"/>
      <w:kern w:val="2"/>
      <w:sz w:val="21"/>
      <w:lang w:val="en-US" w:eastAsia="zh-CN" w:bidi="ar-SA"/>
    </w:rPr>
  </w:style>
  <w:style w:type="character" w:customStyle="1" w:styleId="204">
    <w:name w:val="批注框文本 字符"/>
    <w:semiHidden/>
    <w:qFormat/>
    <w:uiPriority w:val="99"/>
    <w:rPr>
      <w:kern w:val="2"/>
      <w:sz w:val="18"/>
      <w:szCs w:val="18"/>
    </w:rPr>
  </w:style>
  <w:style w:type="character" w:customStyle="1" w:styleId="205">
    <w:name w:val="页脚 字符"/>
    <w:qFormat/>
    <w:uiPriority w:val="99"/>
    <w:rPr>
      <w:kern w:val="2"/>
      <w:sz w:val="18"/>
    </w:rPr>
  </w:style>
  <w:style w:type="character" w:customStyle="1" w:styleId="206">
    <w:name w:val="页眉 字符"/>
    <w:qFormat/>
    <w:uiPriority w:val="99"/>
    <w:rPr>
      <w:kern w:val="2"/>
      <w:sz w:val="18"/>
    </w:rPr>
  </w:style>
  <w:style w:type="paragraph" w:customStyle="1" w:styleId="207">
    <w:name w:val="_Style 64"/>
    <w:basedOn w:val="1"/>
    <w:qFormat/>
    <w:uiPriority w:val="0"/>
    <w:pPr>
      <w:snapToGrid w:val="0"/>
      <w:spacing w:line="440" w:lineRule="atLeast"/>
    </w:pPr>
    <w:rPr>
      <w:rFonts w:ascii="宋体"/>
      <w:sz w:val="24"/>
      <w:szCs w:val="24"/>
    </w:rPr>
  </w:style>
  <w:style w:type="table" w:customStyle="1" w:styleId="208">
    <w:name w:val="网格型2"/>
    <w:basedOn w:val="5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
    <w:name w:val="网格型3"/>
    <w:basedOn w:val="5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
    <w:name w:val="网格型4"/>
    <w:basedOn w:val="5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1">
    <w:name w:val="修订2"/>
    <w:unhideWhenUsed/>
    <w:qFormat/>
    <w:uiPriority w:val="99"/>
    <w:rPr>
      <w:rFonts w:ascii="Times New Roman" w:hAnsi="Times New Roman" w:eastAsia="宋体" w:cs="Times New Roman"/>
      <w:kern w:val="2"/>
      <w:sz w:val="21"/>
      <w:szCs w:val="21"/>
      <w:lang w:val="en-US" w:eastAsia="zh-CN" w:bidi="ar-SA"/>
    </w:rPr>
  </w:style>
  <w:style w:type="paragraph" w:customStyle="1" w:styleId="212">
    <w:name w:val="_Style 1"/>
    <w:basedOn w:val="1"/>
    <w:qFormat/>
    <w:uiPriority w:val="0"/>
    <w:pPr>
      <w:widowControl/>
      <w:spacing w:before="120" w:after="120"/>
      <w:ind w:left="720" w:firstLine="200" w:firstLineChars="200"/>
      <w:contextualSpacing/>
      <w:jc w:val="left"/>
    </w:pPr>
    <w:rPr>
      <w:rFonts w:ascii="Calibri" w:hAnsi="Calibri" w:eastAsia="宋体" w:cs="Times New Roman"/>
      <w:iCs/>
      <w:color w:val="17365D"/>
      <w:kern w:val="0"/>
      <w:szCs w:val="20"/>
    </w:rPr>
  </w:style>
  <w:style w:type="paragraph" w:customStyle="1" w:styleId="213">
    <w:name w:val="列表段落1"/>
    <w:basedOn w:val="1"/>
    <w:qFormat/>
    <w:uiPriority w:val="34"/>
    <w:pPr>
      <w:ind w:firstLine="420" w:firstLineChars="200"/>
    </w:pPr>
    <w:rPr>
      <w:rFonts w:ascii="Calibri" w:hAnsi="Calibri"/>
      <w:szCs w:val="22"/>
    </w:rPr>
  </w:style>
  <w:style w:type="paragraph" w:customStyle="1" w:styleId="214">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215">
    <w:name w:val="NormalCharacter"/>
    <w:qFormat/>
    <w:uiPriority w:val="0"/>
  </w:style>
  <w:style w:type="paragraph" w:customStyle="1" w:styleId="216">
    <w:name w:val="无间隔4"/>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7">
    <w:name w:val="正文首行缩进 21"/>
    <w:basedOn w:val="20"/>
    <w:unhideWhenUsed/>
    <w:qFormat/>
    <w:uiPriority w:val="99"/>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1007</Words>
  <Characters>1045</Characters>
  <Lines>135</Lines>
  <Paragraphs>38</Paragraphs>
  <TotalTime>16</TotalTime>
  <ScaleCrop>false</ScaleCrop>
  <LinksUpToDate>false</LinksUpToDate>
  <CharactersWithSpaces>1076</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2025-03-25T00:31:00Z</dcterms:created>
  <dc:creator>뒴뒴ረ৙ΜԀ癜ਫ਼ሔ৙</dc:creator>
  <cp:lastModifiedBy>玲玲</cp:lastModifiedBy>
  <dcterms:modified xsi:type="dcterms:W3CDTF">2025-06-03T11:33:59Z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C2031E37DEF14A94AB1A0CF099C2B5D1_13</vt:lpwstr>
  </property>
  <property fmtid="{D5CDD505-2E9C-101B-9397-08002B2CF9AE}" pid="4" name="KSOTemplateDocerSaveRecord">
    <vt:lpwstr>eyJoZGlkIjoiNzlhYTQyODRmMzgyNmM1NGIzYzFhM2MwODMwMDQ0ZGEiLCJ1c2VySWQiOiI1MDk2NTA2MjYifQ==</vt:lpwstr>
  </property>
</Properties>
</file>