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1FA701">
      <w:pPr>
        <w:spacing w:line="360" w:lineRule="auto"/>
        <w:ind w:left="0" w:leftChars="0" w:firstLine="0" w:firstLineChars="0"/>
        <w:jc w:val="center"/>
        <w:rPr>
          <w:rFonts w:hint="eastAsia"/>
          <w:b/>
          <w:color w:val="auto"/>
          <w:sz w:val="28"/>
          <w:szCs w:val="28"/>
          <w:highlight w:val="none"/>
        </w:rPr>
      </w:pPr>
      <w:r>
        <w:rPr>
          <w:rFonts w:hint="eastAsia"/>
          <w:b/>
          <w:color w:val="auto"/>
          <w:sz w:val="28"/>
          <w:szCs w:val="28"/>
          <w:highlight w:val="none"/>
        </w:rPr>
        <w:t>启东市生态环境移动执法终端智能化升级改造项目</w:t>
      </w:r>
    </w:p>
    <w:p w14:paraId="77569F96">
      <w:pPr>
        <w:spacing w:line="360" w:lineRule="auto"/>
        <w:ind w:left="0" w:leftChars="0" w:firstLine="0" w:firstLineChars="0"/>
        <w:jc w:val="center"/>
        <w:rPr>
          <w:rFonts w:hint="eastAsia"/>
          <w:b/>
          <w:color w:val="auto"/>
          <w:sz w:val="32"/>
          <w:szCs w:val="32"/>
          <w:highlight w:val="none"/>
        </w:rPr>
      </w:pPr>
      <w:r>
        <w:rPr>
          <w:rFonts w:hint="eastAsia"/>
          <w:b/>
          <w:color w:val="auto"/>
          <w:sz w:val="28"/>
          <w:szCs w:val="28"/>
          <w:highlight w:val="none"/>
        </w:rPr>
        <w:t>市场询价公告</w:t>
      </w:r>
    </w:p>
    <w:p w14:paraId="51352F9B">
      <w:pPr>
        <w:rPr>
          <w:rFonts w:hint="eastAsia"/>
          <w:color w:val="auto"/>
          <w:highlight w:val="none"/>
        </w:rPr>
      </w:pPr>
    </w:p>
    <w:p w14:paraId="00703FBA">
      <w:pPr>
        <w:rPr>
          <w:rFonts w:hint="eastAsia" w:cs="黑体"/>
          <w:color w:val="auto"/>
          <w:highlight w:val="none"/>
        </w:rPr>
      </w:pPr>
      <w:r>
        <w:rPr>
          <w:rFonts w:hint="eastAsia" w:cs="黑体"/>
          <w:color w:val="auto"/>
          <w:highlight w:val="none"/>
        </w:rPr>
        <w:t>启东市生态环境移动执法终端智能化升级改造项目即将实施，现就该项目进行市场询价调研。</w:t>
      </w:r>
    </w:p>
    <w:p w14:paraId="6D49840E">
      <w:pPr>
        <w:rPr>
          <w:rFonts w:hint="eastAsia"/>
          <w:color w:val="auto"/>
          <w:highlight w:val="none"/>
        </w:rPr>
      </w:pPr>
    </w:p>
    <w:p w14:paraId="385C03D9">
      <w:pPr>
        <w:keepNext w:val="0"/>
        <w:keepLines w:val="0"/>
        <w:pageBreakBefore w:val="0"/>
        <w:widowControl w:val="0"/>
        <w:kinsoku/>
        <w:wordWrap/>
        <w:overflowPunct/>
        <w:topLinePunct w:val="0"/>
        <w:autoSpaceDE/>
        <w:autoSpaceDN/>
        <w:bidi w:val="0"/>
        <w:spacing w:line="400" w:lineRule="atLeast"/>
        <w:ind w:left="0" w:leftChars="0" w:firstLine="482" w:firstLineChars="200"/>
        <w:textAlignment w:val="auto"/>
        <w:rPr>
          <w:rFonts w:hint="eastAsia"/>
          <w:b/>
          <w:bCs/>
          <w:color w:val="auto"/>
          <w:sz w:val="24"/>
          <w:szCs w:val="24"/>
          <w:highlight w:val="none"/>
        </w:rPr>
      </w:pPr>
      <w:r>
        <w:rPr>
          <w:rFonts w:hint="eastAsia"/>
          <w:b/>
          <w:bCs/>
          <w:color w:val="auto"/>
          <w:sz w:val="24"/>
          <w:szCs w:val="24"/>
          <w:highlight w:val="none"/>
        </w:rPr>
        <w:t>一、采购项目概况</w:t>
      </w:r>
    </w:p>
    <w:p w14:paraId="321139C2">
      <w:pPr>
        <w:keepNext w:val="0"/>
        <w:keepLines w:val="0"/>
        <w:pageBreakBefore w:val="0"/>
        <w:widowControl w:val="0"/>
        <w:kinsoku/>
        <w:wordWrap/>
        <w:overflowPunct/>
        <w:topLinePunct w:val="0"/>
        <w:autoSpaceDE/>
        <w:autoSpaceDN/>
        <w:bidi w:val="0"/>
        <w:spacing w:line="400" w:lineRule="atLeast"/>
        <w:ind w:left="0" w:leftChars="0" w:firstLine="482" w:firstLineChars="200"/>
        <w:textAlignment w:val="auto"/>
        <w:rPr>
          <w:rFonts w:hint="eastAsia" w:ascii="宋体" w:hAnsi="宋体" w:eastAsia="宋体" w:cs="宋体"/>
          <w:b w:val="0"/>
          <w:bCs w:val="0"/>
          <w:color w:val="auto"/>
          <w:kern w:val="0"/>
          <w:sz w:val="24"/>
          <w:szCs w:val="24"/>
        </w:rPr>
      </w:pPr>
      <w:r>
        <w:rPr>
          <w:rFonts w:hint="eastAsia" w:cs="宋体"/>
          <w:b/>
          <w:bCs/>
          <w:color w:val="auto"/>
          <w:kern w:val="0"/>
          <w:sz w:val="24"/>
          <w:szCs w:val="24"/>
          <w:lang w:eastAsia="zh-CN"/>
        </w:rPr>
        <w:t>（</w:t>
      </w:r>
      <w:r>
        <w:rPr>
          <w:rFonts w:hint="eastAsia" w:cs="宋体"/>
          <w:b/>
          <w:bCs/>
          <w:color w:val="auto"/>
          <w:kern w:val="0"/>
          <w:sz w:val="24"/>
          <w:szCs w:val="24"/>
          <w:lang w:val="en-US" w:eastAsia="zh-CN"/>
        </w:rPr>
        <w:t>一</w:t>
      </w:r>
      <w:r>
        <w:rPr>
          <w:rFonts w:hint="eastAsia" w:cs="宋体"/>
          <w:b/>
          <w:bCs/>
          <w:color w:val="auto"/>
          <w:kern w:val="0"/>
          <w:sz w:val="24"/>
          <w:szCs w:val="24"/>
          <w:lang w:eastAsia="zh-CN"/>
        </w:rPr>
        <w:t>）</w:t>
      </w:r>
      <w:r>
        <w:rPr>
          <w:rFonts w:hint="eastAsia" w:ascii="宋体" w:hAnsi="宋体" w:eastAsia="宋体" w:cs="宋体"/>
          <w:b/>
          <w:bCs/>
          <w:color w:val="auto"/>
          <w:kern w:val="0"/>
          <w:sz w:val="24"/>
          <w:szCs w:val="24"/>
        </w:rPr>
        <w:t>采购预算</w:t>
      </w:r>
      <w:r>
        <w:rPr>
          <w:rFonts w:hint="eastAsia" w:cs="宋体"/>
          <w:b w:val="0"/>
          <w:bCs w:val="0"/>
          <w:color w:val="auto"/>
          <w:kern w:val="0"/>
          <w:sz w:val="24"/>
          <w:szCs w:val="24"/>
          <w:lang w:val="en-US" w:eastAsia="zh-CN"/>
        </w:rPr>
        <w:t>：本项目采购预算为44万元</w:t>
      </w:r>
      <w:r>
        <w:rPr>
          <w:rFonts w:hint="eastAsia" w:ascii="宋体" w:hAnsi="宋体" w:eastAsia="宋体" w:cs="宋体"/>
          <w:b w:val="0"/>
          <w:bCs w:val="0"/>
          <w:color w:val="auto"/>
          <w:sz w:val="24"/>
          <w:szCs w:val="24"/>
          <w:lang w:val="en-US" w:eastAsia="zh-CN"/>
        </w:rPr>
        <w:t>。</w:t>
      </w:r>
    </w:p>
    <w:p w14:paraId="32C0611B">
      <w:pPr>
        <w:keepNext w:val="0"/>
        <w:keepLines w:val="0"/>
        <w:pageBreakBefore w:val="0"/>
        <w:widowControl w:val="0"/>
        <w:kinsoku/>
        <w:wordWrap/>
        <w:overflowPunct/>
        <w:topLinePunct w:val="0"/>
        <w:autoSpaceDE/>
        <w:autoSpaceDN/>
        <w:bidi w:val="0"/>
        <w:spacing w:line="400" w:lineRule="atLeast"/>
        <w:ind w:left="0" w:leftChars="0" w:firstLine="482" w:firstLineChars="200"/>
        <w:textAlignment w:val="auto"/>
        <w:rPr>
          <w:rFonts w:hint="default" w:ascii="宋体" w:hAnsi="宋体" w:eastAsia="宋体" w:cs="宋体"/>
          <w:b/>
          <w:bCs/>
          <w:color w:val="auto"/>
          <w:kern w:val="0"/>
          <w:sz w:val="24"/>
          <w:szCs w:val="24"/>
          <w:lang w:val="en-US" w:eastAsia="zh-CN"/>
        </w:rPr>
      </w:pPr>
      <w:r>
        <w:rPr>
          <w:rFonts w:hint="eastAsia" w:cs="宋体"/>
          <w:b/>
          <w:bCs/>
          <w:color w:val="auto"/>
          <w:kern w:val="0"/>
          <w:sz w:val="24"/>
          <w:szCs w:val="24"/>
          <w:lang w:eastAsia="zh-CN"/>
        </w:rPr>
        <w:t>（</w:t>
      </w:r>
      <w:r>
        <w:rPr>
          <w:rFonts w:hint="eastAsia" w:cs="宋体"/>
          <w:b/>
          <w:bCs/>
          <w:color w:val="auto"/>
          <w:kern w:val="0"/>
          <w:sz w:val="24"/>
          <w:szCs w:val="24"/>
          <w:lang w:val="en-US" w:eastAsia="zh-CN"/>
        </w:rPr>
        <w:t>二</w:t>
      </w:r>
      <w:r>
        <w:rPr>
          <w:rFonts w:hint="eastAsia" w:cs="宋体"/>
          <w:b/>
          <w:bCs/>
          <w:color w:val="auto"/>
          <w:kern w:val="0"/>
          <w:sz w:val="24"/>
          <w:szCs w:val="24"/>
          <w:lang w:eastAsia="zh-CN"/>
        </w:rPr>
        <w:t>）</w:t>
      </w:r>
      <w:r>
        <w:rPr>
          <w:rFonts w:hint="eastAsia" w:cs="宋体"/>
          <w:b/>
          <w:bCs/>
          <w:color w:val="auto"/>
          <w:kern w:val="0"/>
          <w:sz w:val="24"/>
          <w:szCs w:val="24"/>
          <w:lang w:val="en-US" w:eastAsia="zh-CN"/>
        </w:rPr>
        <w:t>采购需求一览表</w:t>
      </w:r>
    </w:p>
    <w:tbl>
      <w:tblPr>
        <w:tblStyle w:val="8"/>
        <w:tblW w:w="437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
        <w:gridCol w:w="4098"/>
        <w:gridCol w:w="1207"/>
        <w:gridCol w:w="1225"/>
      </w:tblGrid>
      <w:tr w14:paraId="26DC0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jc w:val="center"/>
        </w:trPr>
        <w:tc>
          <w:tcPr>
            <w:tcW w:w="932" w:type="dxa"/>
            <w:tcBorders>
              <w:top w:val="single" w:color="auto" w:sz="4" w:space="0"/>
              <w:left w:val="single" w:color="auto" w:sz="4" w:space="0"/>
              <w:bottom w:val="single" w:color="auto" w:sz="4" w:space="0"/>
              <w:right w:val="single" w:color="auto" w:sz="4" w:space="0"/>
            </w:tcBorders>
            <w:vAlign w:val="center"/>
          </w:tcPr>
          <w:p w14:paraId="61D22DB1">
            <w:pPr>
              <w:pStyle w:val="32"/>
              <w:keepNext w:val="0"/>
              <w:keepLines w:val="0"/>
              <w:pageBreakBefore w:val="0"/>
              <w:widowControl/>
              <w:kinsoku/>
              <w:wordWrap/>
              <w:overflowPunct/>
              <w:topLinePunct w:val="0"/>
              <w:autoSpaceDE/>
              <w:autoSpaceDN/>
              <w:bidi w:val="0"/>
              <w:adjustRightInd/>
              <w:snapToGrid w:val="0"/>
              <w:spacing w:line="300" w:lineRule="exact"/>
              <w:contextualSpacing/>
              <w:jc w:val="center"/>
              <w:textAlignment w:val="auto"/>
              <w:rPr>
                <w:rFonts w:hint="eastAsia" w:asciiTheme="majorEastAsia" w:hAnsiTheme="majorEastAsia" w:eastAsiaTheme="majorEastAsia" w:cstheme="majorEastAsia"/>
                <w:b/>
                <w:bCs/>
                <w:color w:val="auto"/>
                <w:sz w:val="24"/>
                <w:szCs w:val="24"/>
              </w:rPr>
            </w:pPr>
            <w:r>
              <w:rPr>
                <w:rFonts w:hint="eastAsia" w:asciiTheme="majorEastAsia" w:hAnsiTheme="majorEastAsia" w:eastAsiaTheme="majorEastAsia" w:cstheme="majorEastAsia"/>
                <w:b/>
                <w:bCs/>
                <w:color w:val="auto"/>
                <w:sz w:val="24"/>
                <w:szCs w:val="24"/>
              </w:rPr>
              <w:t>序号</w:t>
            </w:r>
          </w:p>
        </w:tc>
        <w:tc>
          <w:tcPr>
            <w:tcW w:w="4098" w:type="dxa"/>
            <w:tcBorders>
              <w:top w:val="single" w:color="auto" w:sz="4" w:space="0"/>
              <w:left w:val="single" w:color="auto" w:sz="4" w:space="0"/>
              <w:bottom w:val="single" w:color="auto" w:sz="4" w:space="0"/>
              <w:right w:val="single" w:color="auto" w:sz="4" w:space="0"/>
            </w:tcBorders>
            <w:vAlign w:val="center"/>
          </w:tcPr>
          <w:p w14:paraId="5ED854FD">
            <w:pPr>
              <w:pStyle w:val="32"/>
              <w:keepNext w:val="0"/>
              <w:keepLines w:val="0"/>
              <w:pageBreakBefore w:val="0"/>
              <w:widowControl/>
              <w:kinsoku/>
              <w:wordWrap/>
              <w:overflowPunct/>
              <w:topLinePunct w:val="0"/>
              <w:autoSpaceDE/>
              <w:autoSpaceDN/>
              <w:bidi w:val="0"/>
              <w:adjustRightInd/>
              <w:snapToGrid w:val="0"/>
              <w:spacing w:line="300" w:lineRule="exact"/>
              <w:contextualSpacing/>
              <w:jc w:val="center"/>
              <w:textAlignment w:val="auto"/>
              <w:rPr>
                <w:rFonts w:hint="default" w:asciiTheme="majorEastAsia" w:hAnsiTheme="majorEastAsia" w:eastAsiaTheme="majorEastAsia" w:cstheme="majorEastAsia"/>
                <w:b/>
                <w:bCs/>
                <w:color w:val="auto"/>
                <w:sz w:val="24"/>
                <w:szCs w:val="24"/>
                <w:lang w:val="en-US" w:eastAsia="zh-CN"/>
              </w:rPr>
            </w:pPr>
            <w:r>
              <w:rPr>
                <w:rFonts w:hint="eastAsia" w:asciiTheme="majorEastAsia" w:hAnsiTheme="majorEastAsia" w:eastAsiaTheme="majorEastAsia" w:cstheme="majorEastAsia"/>
                <w:b/>
                <w:bCs/>
                <w:color w:val="auto"/>
                <w:sz w:val="24"/>
                <w:szCs w:val="24"/>
              </w:rPr>
              <w:t>建设内容</w:t>
            </w:r>
          </w:p>
        </w:tc>
        <w:tc>
          <w:tcPr>
            <w:tcW w:w="1207" w:type="dxa"/>
            <w:tcBorders>
              <w:top w:val="single" w:color="auto" w:sz="4" w:space="0"/>
              <w:left w:val="single" w:color="auto" w:sz="4" w:space="0"/>
              <w:bottom w:val="single" w:color="auto" w:sz="4" w:space="0"/>
              <w:right w:val="single" w:color="auto" w:sz="4" w:space="0"/>
            </w:tcBorders>
            <w:vAlign w:val="center"/>
          </w:tcPr>
          <w:p w14:paraId="2C414AE6">
            <w:pPr>
              <w:pStyle w:val="32"/>
              <w:keepNext w:val="0"/>
              <w:keepLines w:val="0"/>
              <w:pageBreakBefore w:val="0"/>
              <w:widowControl/>
              <w:kinsoku/>
              <w:wordWrap/>
              <w:overflowPunct/>
              <w:topLinePunct w:val="0"/>
              <w:autoSpaceDE/>
              <w:autoSpaceDN/>
              <w:bidi w:val="0"/>
              <w:adjustRightInd/>
              <w:snapToGrid w:val="0"/>
              <w:spacing w:line="300" w:lineRule="exact"/>
              <w:contextualSpacing/>
              <w:jc w:val="center"/>
              <w:textAlignment w:val="auto"/>
              <w:rPr>
                <w:rFonts w:hint="eastAsia" w:asciiTheme="majorEastAsia" w:hAnsiTheme="majorEastAsia" w:eastAsiaTheme="majorEastAsia" w:cstheme="majorEastAsia"/>
                <w:b/>
                <w:bCs/>
                <w:color w:val="auto"/>
                <w:sz w:val="24"/>
                <w:szCs w:val="24"/>
              </w:rPr>
            </w:pPr>
            <w:r>
              <w:rPr>
                <w:rFonts w:hint="eastAsia" w:asciiTheme="majorEastAsia" w:hAnsiTheme="majorEastAsia" w:eastAsiaTheme="majorEastAsia" w:cstheme="majorEastAsia"/>
                <w:b/>
                <w:bCs/>
                <w:color w:val="auto"/>
                <w:sz w:val="24"/>
                <w:szCs w:val="24"/>
              </w:rPr>
              <w:t>数量</w:t>
            </w:r>
          </w:p>
        </w:tc>
        <w:tc>
          <w:tcPr>
            <w:tcW w:w="1225" w:type="dxa"/>
            <w:tcBorders>
              <w:top w:val="single" w:color="auto" w:sz="4" w:space="0"/>
              <w:left w:val="single" w:color="auto" w:sz="4" w:space="0"/>
              <w:bottom w:val="single" w:color="auto" w:sz="4" w:space="0"/>
              <w:right w:val="single" w:color="auto" w:sz="4" w:space="0"/>
            </w:tcBorders>
            <w:vAlign w:val="center"/>
          </w:tcPr>
          <w:p w14:paraId="5FE31CFD">
            <w:pPr>
              <w:pStyle w:val="32"/>
              <w:keepNext w:val="0"/>
              <w:keepLines w:val="0"/>
              <w:pageBreakBefore w:val="0"/>
              <w:widowControl/>
              <w:kinsoku/>
              <w:wordWrap/>
              <w:overflowPunct/>
              <w:topLinePunct w:val="0"/>
              <w:autoSpaceDE/>
              <w:autoSpaceDN/>
              <w:bidi w:val="0"/>
              <w:adjustRightInd/>
              <w:snapToGrid w:val="0"/>
              <w:spacing w:line="300" w:lineRule="exact"/>
              <w:contextualSpacing/>
              <w:jc w:val="center"/>
              <w:textAlignment w:val="auto"/>
              <w:rPr>
                <w:rFonts w:hint="eastAsia" w:asciiTheme="majorEastAsia" w:hAnsiTheme="majorEastAsia" w:eastAsiaTheme="majorEastAsia" w:cstheme="majorEastAsia"/>
                <w:b/>
                <w:bCs/>
                <w:color w:val="auto"/>
                <w:sz w:val="24"/>
                <w:szCs w:val="24"/>
              </w:rPr>
            </w:pPr>
            <w:r>
              <w:rPr>
                <w:rFonts w:hint="eastAsia" w:asciiTheme="majorEastAsia" w:hAnsiTheme="majorEastAsia" w:eastAsiaTheme="majorEastAsia" w:cstheme="majorEastAsia"/>
                <w:b/>
                <w:bCs/>
                <w:color w:val="auto"/>
                <w:sz w:val="24"/>
                <w:szCs w:val="24"/>
              </w:rPr>
              <w:t>单位</w:t>
            </w:r>
          </w:p>
        </w:tc>
      </w:tr>
      <w:tr w14:paraId="13E7F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jc w:val="center"/>
        </w:trPr>
        <w:tc>
          <w:tcPr>
            <w:tcW w:w="932" w:type="dxa"/>
            <w:tcBorders>
              <w:left w:val="single" w:color="auto" w:sz="4" w:space="0"/>
              <w:right w:val="single" w:color="auto" w:sz="4" w:space="0"/>
            </w:tcBorders>
            <w:vAlign w:val="center"/>
          </w:tcPr>
          <w:p w14:paraId="6146CADD">
            <w:pPr>
              <w:pStyle w:val="32"/>
              <w:keepNext w:val="0"/>
              <w:keepLines w:val="0"/>
              <w:pageBreakBefore w:val="0"/>
              <w:widowControl/>
              <w:kinsoku/>
              <w:wordWrap/>
              <w:overflowPunct/>
              <w:topLinePunct w:val="0"/>
              <w:autoSpaceDE/>
              <w:autoSpaceDN/>
              <w:bidi w:val="0"/>
              <w:adjustRightInd/>
              <w:snapToGrid w:val="0"/>
              <w:spacing w:line="300" w:lineRule="exact"/>
              <w:contextualSpacing/>
              <w:jc w:val="center"/>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1</w:t>
            </w:r>
          </w:p>
        </w:tc>
        <w:tc>
          <w:tcPr>
            <w:tcW w:w="4098" w:type="dxa"/>
            <w:tcBorders>
              <w:top w:val="single" w:color="auto" w:sz="4" w:space="0"/>
              <w:left w:val="single" w:color="auto" w:sz="4" w:space="0"/>
              <w:right w:val="single" w:color="auto" w:sz="4" w:space="0"/>
            </w:tcBorders>
            <w:vAlign w:val="center"/>
          </w:tcPr>
          <w:p w14:paraId="00A6907D">
            <w:pPr>
              <w:pStyle w:val="32"/>
              <w:keepNext w:val="0"/>
              <w:keepLines w:val="0"/>
              <w:pageBreakBefore w:val="0"/>
              <w:widowControl/>
              <w:kinsoku/>
              <w:wordWrap/>
              <w:overflowPunct/>
              <w:topLinePunct w:val="0"/>
              <w:autoSpaceDE/>
              <w:autoSpaceDN/>
              <w:bidi w:val="0"/>
              <w:adjustRightInd/>
              <w:snapToGrid w:val="0"/>
              <w:spacing w:line="300" w:lineRule="exact"/>
              <w:contextualSpacing/>
              <w:jc w:val="left"/>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平板（包含键盘套和触屏笔）</w:t>
            </w:r>
          </w:p>
        </w:tc>
        <w:tc>
          <w:tcPr>
            <w:tcW w:w="1207" w:type="dxa"/>
            <w:tcBorders>
              <w:top w:val="single" w:color="auto" w:sz="4" w:space="0"/>
              <w:left w:val="single" w:color="auto" w:sz="4" w:space="0"/>
              <w:right w:val="single" w:color="auto" w:sz="4" w:space="0"/>
            </w:tcBorders>
            <w:vAlign w:val="center"/>
          </w:tcPr>
          <w:p w14:paraId="1101AEEE">
            <w:pPr>
              <w:pStyle w:val="32"/>
              <w:keepNext w:val="0"/>
              <w:keepLines w:val="0"/>
              <w:pageBreakBefore w:val="0"/>
              <w:widowControl/>
              <w:kinsoku/>
              <w:wordWrap/>
              <w:overflowPunct/>
              <w:topLinePunct w:val="0"/>
              <w:autoSpaceDE/>
              <w:autoSpaceDN/>
              <w:bidi w:val="0"/>
              <w:adjustRightInd/>
              <w:snapToGrid w:val="0"/>
              <w:spacing w:line="300" w:lineRule="exact"/>
              <w:contextualSpacing/>
              <w:jc w:val="center"/>
              <w:textAlignment w:val="auto"/>
              <w:rPr>
                <w:rFonts w:hint="default"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22</w:t>
            </w:r>
          </w:p>
        </w:tc>
        <w:tc>
          <w:tcPr>
            <w:tcW w:w="1225" w:type="dxa"/>
            <w:tcBorders>
              <w:top w:val="single" w:color="auto" w:sz="4" w:space="0"/>
              <w:left w:val="single" w:color="auto" w:sz="4" w:space="0"/>
              <w:right w:val="single" w:color="auto" w:sz="4" w:space="0"/>
            </w:tcBorders>
            <w:vAlign w:val="center"/>
          </w:tcPr>
          <w:p w14:paraId="08A097B0">
            <w:pPr>
              <w:pStyle w:val="32"/>
              <w:keepNext w:val="0"/>
              <w:keepLines w:val="0"/>
              <w:pageBreakBefore w:val="0"/>
              <w:widowControl/>
              <w:kinsoku/>
              <w:wordWrap/>
              <w:overflowPunct/>
              <w:topLinePunct w:val="0"/>
              <w:autoSpaceDE/>
              <w:autoSpaceDN/>
              <w:bidi w:val="0"/>
              <w:adjustRightInd/>
              <w:snapToGrid w:val="0"/>
              <w:spacing w:line="300" w:lineRule="exact"/>
              <w:contextualSpacing/>
              <w:jc w:val="center"/>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个</w:t>
            </w:r>
          </w:p>
        </w:tc>
      </w:tr>
      <w:tr w14:paraId="391E3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jc w:val="center"/>
        </w:trPr>
        <w:tc>
          <w:tcPr>
            <w:tcW w:w="932" w:type="dxa"/>
            <w:tcBorders>
              <w:left w:val="single" w:color="auto" w:sz="4" w:space="0"/>
              <w:right w:val="single" w:color="auto" w:sz="4" w:space="0"/>
            </w:tcBorders>
            <w:vAlign w:val="center"/>
          </w:tcPr>
          <w:p w14:paraId="44AACEFE">
            <w:pPr>
              <w:pStyle w:val="32"/>
              <w:keepNext w:val="0"/>
              <w:keepLines w:val="0"/>
              <w:pageBreakBefore w:val="0"/>
              <w:widowControl/>
              <w:kinsoku/>
              <w:wordWrap/>
              <w:overflowPunct/>
              <w:topLinePunct w:val="0"/>
              <w:autoSpaceDE/>
              <w:autoSpaceDN/>
              <w:bidi w:val="0"/>
              <w:adjustRightInd/>
              <w:snapToGrid w:val="0"/>
              <w:spacing w:line="300" w:lineRule="exact"/>
              <w:contextualSpacing/>
              <w:jc w:val="center"/>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2</w:t>
            </w:r>
          </w:p>
        </w:tc>
        <w:tc>
          <w:tcPr>
            <w:tcW w:w="4098" w:type="dxa"/>
            <w:tcBorders>
              <w:top w:val="single" w:color="auto" w:sz="4" w:space="0"/>
              <w:left w:val="single" w:color="auto" w:sz="4" w:space="0"/>
              <w:right w:val="single" w:color="auto" w:sz="4" w:space="0"/>
            </w:tcBorders>
            <w:vAlign w:val="center"/>
          </w:tcPr>
          <w:p w14:paraId="429ECD2C">
            <w:pPr>
              <w:pStyle w:val="32"/>
              <w:keepNext w:val="0"/>
              <w:keepLines w:val="0"/>
              <w:pageBreakBefore w:val="0"/>
              <w:widowControl/>
              <w:kinsoku/>
              <w:wordWrap/>
              <w:overflowPunct/>
              <w:topLinePunct w:val="0"/>
              <w:autoSpaceDE/>
              <w:autoSpaceDN/>
              <w:bidi w:val="0"/>
              <w:adjustRightInd/>
              <w:snapToGrid w:val="0"/>
              <w:spacing w:line="300" w:lineRule="exact"/>
              <w:contextualSpacing/>
              <w:jc w:val="left"/>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执法记录仪（加配一块电板）</w:t>
            </w:r>
          </w:p>
        </w:tc>
        <w:tc>
          <w:tcPr>
            <w:tcW w:w="1207" w:type="dxa"/>
            <w:tcBorders>
              <w:top w:val="single" w:color="auto" w:sz="4" w:space="0"/>
              <w:left w:val="single" w:color="auto" w:sz="4" w:space="0"/>
              <w:right w:val="single" w:color="auto" w:sz="4" w:space="0"/>
            </w:tcBorders>
            <w:vAlign w:val="center"/>
          </w:tcPr>
          <w:p w14:paraId="6131EEB8">
            <w:pPr>
              <w:pStyle w:val="32"/>
              <w:keepNext w:val="0"/>
              <w:keepLines w:val="0"/>
              <w:pageBreakBefore w:val="0"/>
              <w:widowControl/>
              <w:kinsoku/>
              <w:wordWrap/>
              <w:overflowPunct/>
              <w:topLinePunct w:val="0"/>
              <w:autoSpaceDE/>
              <w:autoSpaceDN/>
              <w:bidi w:val="0"/>
              <w:adjustRightInd/>
              <w:snapToGrid w:val="0"/>
              <w:spacing w:line="300" w:lineRule="exact"/>
              <w:contextualSpacing/>
              <w:jc w:val="center"/>
              <w:textAlignment w:val="auto"/>
              <w:rPr>
                <w:rFonts w:hint="default"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40</w:t>
            </w:r>
          </w:p>
        </w:tc>
        <w:tc>
          <w:tcPr>
            <w:tcW w:w="1225" w:type="dxa"/>
            <w:tcBorders>
              <w:top w:val="single" w:color="auto" w:sz="4" w:space="0"/>
              <w:left w:val="single" w:color="auto" w:sz="4" w:space="0"/>
              <w:right w:val="single" w:color="auto" w:sz="4" w:space="0"/>
            </w:tcBorders>
            <w:vAlign w:val="center"/>
          </w:tcPr>
          <w:p w14:paraId="539FEB99">
            <w:pPr>
              <w:pStyle w:val="32"/>
              <w:keepNext w:val="0"/>
              <w:keepLines w:val="0"/>
              <w:pageBreakBefore w:val="0"/>
              <w:widowControl/>
              <w:kinsoku/>
              <w:wordWrap/>
              <w:overflowPunct/>
              <w:topLinePunct w:val="0"/>
              <w:autoSpaceDE/>
              <w:autoSpaceDN/>
              <w:bidi w:val="0"/>
              <w:adjustRightInd/>
              <w:snapToGrid w:val="0"/>
              <w:spacing w:line="300" w:lineRule="exact"/>
              <w:contextualSpacing/>
              <w:jc w:val="center"/>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个</w:t>
            </w:r>
          </w:p>
        </w:tc>
      </w:tr>
      <w:tr w14:paraId="2C57F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exact"/>
          <w:jc w:val="center"/>
        </w:trPr>
        <w:tc>
          <w:tcPr>
            <w:tcW w:w="932" w:type="dxa"/>
            <w:tcBorders>
              <w:left w:val="single" w:color="auto" w:sz="4" w:space="0"/>
              <w:right w:val="single" w:color="auto" w:sz="4" w:space="0"/>
            </w:tcBorders>
            <w:vAlign w:val="center"/>
          </w:tcPr>
          <w:p w14:paraId="5704F444">
            <w:pPr>
              <w:pStyle w:val="32"/>
              <w:keepNext w:val="0"/>
              <w:keepLines w:val="0"/>
              <w:pageBreakBefore w:val="0"/>
              <w:widowControl/>
              <w:kinsoku/>
              <w:wordWrap/>
              <w:overflowPunct/>
              <w:topLinePunct w:val="0"/>
              <w:autoSpaceDE/>
              <w:autoSpaceDN/>
              <w:bidi w:val="0"/>
              <w:adjustRightInd/>
              <w:snapToGrid w:val="0"/>
              <w:spacing w:line="300" w:lineRule="exact"/>
              <w:contextualSpacing/>
              <w:jc w:val="center"/>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3</w:t>
            </w:r>
          </w:p>
        </w:tc>
        <w:tc>
          <w:tcPr>
            <w:tcW w:w="4098" w:type="dxa"/>
            <w:tcBorders>
              <w:top w:val="single" w:color="auto" w:sz="4" w:space="0"/>
              <w:left w:val="single" w:color="auto" w:sz="4" w:space="0"/>
              <w:right w:val="single" w:color="auto" w:sz="4" w:space="0"/>
            </w:tcBorders>
            <w:vAlign w:val="center"/>
          </w:tcPr>
          <w:p w14:paraId="6434E57A">
            <w:pPr>
              <w:pStyle w:val="32"/>
              <w:keepNext w:val="0"/>
              <w:keepLines w:val="0"/>
              <w:pageBreakBefore w:val="0"/>
              <w:widowControl/>
              <w:kinsoku/>
              <w:wordWrap/>
              <w:overflowPunct/>
              <w:topLinePunct w:val="0"/>
              <w:autoSpaceDE/>
              <w:autoSpaceDN/>
              <w:bidi w:val="0"/>
              <w:adjustRightInd/>
              <w:snapToGrid w:val="0"/>
              <w:spacing w:line="300" w:lineRule="exact"/>
              <w:contextualSpacing/>
              <w:jc w:val="left"/>
              <w:textAlignment w:val="auto"/>
              <w:rPr>
                <w:rFonts w:hint="default"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rPr>
              <w:t>便携式打印机</w:t>
            </w:r>
            <w:r>
              <w:rPr>
                <w:rFonts w:hint="eastAsia" w:asciiTheme="majorEastAsia" w:hAnsiTheme="majorEastAsia" w:eastAsiaTheme="majorEastAsia" w:cstheme="majorEastAsia"/>
                <w:color w:val="auto"/>
                <w:sz w:val="24"/>
                <w:szCs w:val="24"/>
                <w:lang w:eastAsia="zh-CN"/>
              </w:rPr>
              <w:t>（</w:t>
            </w:r>
            <w:r>
              <w:rPr>
                <w:rFonts w:hint="eastAsia" w:asciiTheme="majorEastAsia" w:hAnsiTheme="majorEastAsia" w:eastAsiaTheme="majorEastAsia" w:cstheme="majorEastAsia"/>
                <w:color w:val="auto"/>
                <w:sz w:val="24"/>
                <w:szCs w:val="24"/>
                <w:lang w:val="en-US" w:eastAsia="zh-CN"/>
              </w:rPr>
              <w:t>含执法包，用于放置便携打印机）</w:t>
            </w:r>
          </w:p>
        </w:tc>
        <w:tc>
          <w:tcPr>
            <w:tcW w:w="1207" w:type="dxa"/>
            <w:tcBorders>
              <w:top w:val="single" w:color="auto" w:sz="4" w:space="0"/>
              <w:left w:val="single" w:color="auto" w:sz="4" w:space="0"/>
              <w:right w:val="single" w:color="auto" w:sz="4" w:space="0"/>
            </w:tcBorders>
            <w:vAlign w:val="center"/>
          </w:tcPr>
          <w:p w14:paraId="5C546F08">
            <w:pPr>
              <w:pStyle w:val="32"/>
              <w:keepNext w:val="0"/>
              <w:keepLines w:val="0"/>
              <w:pageBreakBefore w:val="0"/>
              <w:widowControl/>
              <w:kinsoku/>
              <w:wordWrap/>
              <w:overflowPunct/>
              <w:topLinePunct w:val="0"/>
              <w:autoSpaceDE/>
              <w:autoSpaceDN/>
              <w:bidi w:val="0"/>
              <w:adjustRightInd/>
              <w:snapToGrid w:val="0"/>
              <w:spacing w:line="300" w:lineRule="exact"/>
              <w:contextualSpacing/>
              <w:jc w:val="center"/>
              <w:textAlignment w:val="auto"/>
              <w:rPr>
                <w:rFonts w:hint="default"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14</w:t>
            </w:r>
          </w:p>
        </w:tc>
        <w:tc>
          <w:tcPr>
            <w:tcW w:w="1225" w:type="dxa"/>
            <w:tcBorders>
              <w:top w:val="single" w:color="auto" w:sz="4" w:space="0"/>
              <w:left w:val="single" w:color="auto" w:sz="4" w:space="0"/>
              <w:right w:val="single" w:color="auto" w:sz="4" w:space="0"/>
            </w:tcBorders>
            <w:vAlign w:val="center"/>
          </w:tcPr>
          <w:p w14:paraId="2E346D75">
            <w:pPr>
              <w:keepNext w:val="0"/>
              <w:keepLines w:val="0"/>
              <w:pageBreakBefore w:val="0"/>
              <w:widowControl/>
              <w:kinsoku/>
              <w:wordWrap/>
              <w:overflowPunct/>
              <w:topLinePunct w:val="0"/>
              <w:autoSpaceDE/>
              <w:autoSpaceDN/>
              <w:bidi w:val="0"/>
              <w:adjustRightInd/>
              <w:snapToGrid w:val="0"/>
              <w:spacing w:line="300" w:lineRule="exact"/>
              <w:ind w:left="0" w:leftChars="0" w:firstLine="0" w:firstLineChars="0"/>
              <w:contextualSpacing/>
              <w:jc w:val="center"/>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个</w:t>
            </w:r>
          </w:p>
        </w:tc>
      </w:tr>
      <w:tr w14:paraId="6C7C9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jc w:val="center"/>
        </w:trPr>
        <w:tc>
          <w:tcPr>
            <w:tcW w:w="932" w:type="dxa"/>
            <w:tcBorders>
              <w:left w:val="single" w:color="auto" w:sz="4" w:space="0"/>
              <w:right w:val="single" w:color="auto" w:sz="4" w:space="0"/>
            </w:tcBorders>
            <w:vAlign w:val="center"/>
          </w:tcPr>
          <w:p w14:paraId="467A6ED4">
            <w:pPr>
              <w:pStyle w:val="32"/>
              <w:keepNext w:val="0"/>
              <w:keepLines w:val="0"/>
              <w:pageBreakBefore w:val="0"/>
              <w:widowControl/>
              <w:kinsoku/>
              <w:wordWrap/>
              <w:overflowPunct/>
              <w:topLinePunct w:val="0"/>
              <w:autoSpaceDE/>
              <w:autoSpaceDN/>
              <w:bidi w:val="0"/>
              <w:adjustRightInd/>
              <w:snapToGrid w:val="0"/>
              <w:spacing w:line="300" w:lineRule="exact"/>
              <w:contextualSpacing/>
              <w:jc w:val="center"/>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4</w:t>
            </w:r>
          </w:p>
        </w:tc>
        <w:tc>
          <w:tcPr>
            <w:tcW w:w="4098" w:type="dxa"/>
            <w:tcBorders>
              <w:top w:val="single" w:color="auto" w:sz="4" w:space="0"/>
              <w:left w:val="single" w:color="auto" w:sz="4" w:space="0"/>
              <w:right w:val="single" w:color="auto" w:sz="4" w:space="0"/>
            </w:tcBorders>
            <w:vAlign w:val="center"/>
          </w:tcPr>
          <w:p w14:paraId="67F64728">
            <w:pPr>
              <w:pStyle w:val="32"/>
              <w:keepNext w:val="0"/>
              <w:keepLines w:val="0"/>
              <w:pageBreakBefore w:val="0"/>
              <w:widowControl/>
              <w:kinsoku/>
              <w:wordWrap/>
              <w:overflowPunct/>
              <w:topLinePunct w:val="0"/>
              <w:autoSpaceDE/>
              <w:autoSpaceDN/>
              <w:bidi w:val="0"/>
              <w:adjustRightInd/>
              <w:snapToGrid w:val="0"/>
              <w:spacing w:line="300" w:lineRule="exact"/>
              <w:contextualSpacing/>
              <w:jc w:val="left"/>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便携式恶臭分析仪</w:t>
            </w:r>
          </w:p>
        </w:tc>
        <w:tc>
          <w:tcPr>
            <w:tcW w:w="1207" w:type="dxa"/>
            <w:tcBorders>
              <w:top w:val="single" w:color="auto" w:sz="4" w:space="0"/>
              <w:left w:val="single" w:color="auto" w:sz="4" w:space="0"/>
              <w:right w:val="single" w:color="auto" w:sz="4" w:space="0"/>
            </w:tcBorders>
            <w:vAlign w:val="center"/>
          </w:tcPr>
          <w:p w14:paraId="6E14B0B4">
            <w:pPr>
              <w:pStyle w:val="32"/>
              <w:keepNext w:val="0"/>
              <w:keepLines w:val="0"/>
              <w:pageBreakBefore w:val="0"/>
              <w:widowControl/>
              <w:kinsoku/>
              <w:wordWrap/>
              <w:overflowPunct/>
              <w:topLinePunct w:val="0"/>
              <w:autoSpaceDE/>
              <w:autoSpaceDN/>
              <w:bidi w:val="0"/>
              <w:adjustRightInd/>
              <w:snapToGrid w:val="0"/>
              <w:spacing w:line="300" w:lineRule="exact"/>
              <w:contextualSpacing/>
              <w:jc w:val="center"/>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1</w:t>
            </w:r>
          </w:p>
        </w:tc>
        <w:tc>
          <w:tcPr>
            <w:tcW w:w="1225" w:type="dxa"/>
            <w:tcBorders>
              <w:top w:val="single" w:color="auto" w:sz="4" w:space="0"/>
              <w:left w:val="single" w:color="auto" w:sz="4" w:space="0"/>
              <w:right w:val="single" w:color="auto" w:sz="4" w:space="0"/>
            </w:tcBorders>
            <w:vAlign w:val="center"/>
          </w:tcPr>
          <w:p w14:paraId="2ACBEE2A">
            <w:pPr>
              <w:keepNext w:val="0"/>
              <w:keepLines w:val="0"/>
              <w:pageBreakBefore w:val="0"/>
              <w:widowControl/>
              <w:kinsoku/>
              <w:wordWrap/>
              <w:overflowPunct/>
              <w:topLinePunct w:val="0"/>
              <w:autoSpaceDE/>
              <w:autoSpaceDN/>
              <w:bidi w:val="0"/>
              <w:adjustRightInd/>
              <w:snapToGrid w:val="0"/>
              <w:spacing w:line="300" w:lineRule="exact"/>
              <w:ind w:left="0" w:leftChars="0" w:firstLine="0" w:firstLineChars="0"/>
              <w:contextualSpacing/>
              <w:jc w:val="center"/>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个</w:t>
            </w:r>
          </w:p>
        </w:tc>
      </w:tr>
      <w:tr w14:paraId="0A786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jc w:val="center"/>
        </w:trPr>
        <w:tc>
          <w:tcPr>
            <w:tcW w:w="932" w:type="dxa"/>
            <w:tcBorders>
              <w:left w:val="single" w:color="auto" w:sz="4" w:space="0"/>
              <w:right w:val="single" w:color="auto" w:sz="4" w:space="0"/>
            </w:tcBorders>
            <w:vAlign w:val="center"/>
          </w:tcPr>
          <w:p w14:paraId="0293688D">
            <w:pPr>
              <w:pStyle w:val="32"/>
              <w:keepNext w:val="0"/>
              <w:keepLines w:val="0"/>
              <w:pageBreakBefore w:val="0"/>
              <w:widowControl/>
              <w:kinsoku/>
              <w:wordWrap/>
              <w:overflowPunct/>
              <w:topLinePunct w:val="0"/>
              <w:autoSpaceDE/>
              <w:autoSpaceDN/>
              <w:bidi w:val="0"/>
              <w:adjustRightInd/>
              <w:snapToGrid w:val="0"/>
              <w:spacing w:line="300" w:lineRule="exact"/>
              <w:contextualSpacing/>
              <w:jc w:val="center"/>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5</w:t>
            </w:r>
          </w:p>
        </w:tc>
        <w:tc>
          <w:tcPr>
            <w:tcW w:w="4098" w:type="dxa"/>
            <w:tcBorders>
              <w:top w:val="single" w:color="auto" w:sz="4" w:space="0"/>
              <w:left w:val="single" w:color="auto" w:sz="4" w:space="0"/>
              <w:right w:val="single" w:color="auto" w:sz="4" w:space="0"/>
            </w:tcBorders>
            <w:vAlign w:val="center"/>
          </w:tcPr>
          <w:p w14:paraId="6F233D0B">
            <w:pPr>
              <w:pStyle w:val="32"/>
              <w:keepNext w:val="0"/>
              <w:keepLines w:val="0"/>
              <w:pageBreakBefore w:val="0"/>
              <w:widowControl/>
              <w:kinsoku/>
              <w:wordWrap/>
              <w:overflowPunct/>
              <w:topLinePunct w:val="0"/>
              <w:autoSpaceDE/>
              <w:autoSpaceDN/>
              <w:bidi w:val="0"/>
              <w:adjustRightInd/>
              <w:snapToGrid w:val="0"/>
              <w:spacing w:line="300" w:lineRule="exact"/>
              <w:contextualSpacing/>
              <w:jc w:val="left"/>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便携式噪声检测仪</w:t>
            </w:r>
          </w:p>
        </w:tc>
        <w:tc>
          <w:tcPr>
            <w:tcW w:w="1207" w:type="dxa"/>
            <w:tcBorders>
              <w:top w:val="single" w:color="auto" w:sz="4" w:space="0"/>
              <w:left w:val="single" w:color="auto" w:sz="4" w:space="0"/>
              <w:right w:val="single" w:color="auto" w:sz="4" w:space="0"/>
            </w:tcBorders>
            <w:vAlign w:val="center"/>
          </w:tcPr>
          <w:p w14:paraId="35E9B2E0">
            <w:pPr>
              <w:pStyle w:val="32"/>
              <w:keepNext w:val="0"/>
              <w:keepLines w:val="0"/>
              <w:pageBreakBefore w:val="0"/>
              <w:widowControl/>
              <w:kinsoku/>
              <w:wordWrap/>
              <w:overflowPunct/>
              <w:topLinePunct w:val="0"/>
              <w:autoSpaceDE/>
              <w:autoSpaceDN/>
              <w:bidi w:val="0"/>
              <w:adjustRightInd/>
              <w:snapToGrid w:val="0"/>
              <w:spacing w:line="300" w:lineRule="exact"/>
              <w:contextualSpacing/>
              <w:jc w:val="center"/>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6</w:t>
            </w:r>
          </w:p>
        </w:tc>
        <w:tc>
          <w:tcPr>
            <w:tcW w:w="1225" w:type="dxa"/>
            <w:tcBorders>
              <w:top w:val="single" w:color="auto" w:sz="4" w:space="0"/>
              <w:left w:val="single" w:color="auto" w:sz="4" w:space="0"/>
              <w:right w:val="single" w:color="auto" w:sz="4" w:space="0"/>
            </w:tcBorders>
            <w:vAlign w:val="center"/>
          </w:tcPr>
          <w:p w14:paraId="61801A28">
            <w:pPr>
              <w:keepNext w:val="0"/>
              <w:keepLines w:val="0"/>
              <w:pageBreakBefore w:val="0"/>
              <w:widowControl/>
              <w:kinsoku/>
              <w:wordWrap/>
              <w:overflowPunct/>
              <w:topLinePunct w:val="0"/>
              <w:autoSpaceDE/>
              <w:autoSpaceDN/>
              <w:bidi w:val="0"/>
              <w:adjustRightInd/>
              <w:snapToGrid w:val="0"/>
              <w:spacing w:line="300" w:lineRule="exact"/>
              <w:ind w:left="0" w:leftChars="0" w:firstLine="0" w:firstLineChars="0"/>
              <w:contextualSpacing/>
              <w:jc w:val="center"/>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个</w:t>
            </w:r>
          </w:p>
        </w:tc>
      </w:tr>
      <w:tr w14:paraId="26890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jc w:val="center"/>
        </w:trPr>
        <w:tc>
          <w:tcPr>
            <w:tcW w:w="932" w:type="dxa"/>
            <w:tcBorders>
              <w:left w:val="single" w:color="auto" w:sz="4" w:space="0"/>
              <w:right w:val="single" w:color="auto" w:sz="4" w:space="0"/>
            </w:tcBorders>
            <w:vAlign w:val="center"/>
          </w:tcPr>
          <w:p w14:paraId="483F1CD7">
            <w:pPr>
              <w:pStyle w:val="32"/>
              <w:keepNext w:val="0"/>
              <w:keepLines w:val="0"/>
              <w:pageBreakBefore w:val="0"/>
              <w:widowControl/>
              <w:kinsoku/>
              <w:wordWrap/>
              <w:overflowPunct/>
              <w:topLinePunct w:val="0"/>
              <w:autoSpaceDE/>
              <w:autoSpaceDN/>
              <w:bidi w:val="0"/>
              <w:adjustRightInd/>
              <w:snapToGrid w:val="0"/>
              <w:spacing w:line="300" w:lineRule="exact"/>
              <w:contextualSpacing/>
              <w:jc w:val="center"/>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6</w:t>
            </w:r>
          </w:p>
        </w:tc>
        <w:tc>
          <w:tcPr>
            <w:tcW w:w="4098" w:type="dxa"/>
            <w:tcBorders>
              <w:top w:val="single" w:color="auto" w:sz="4" w:space="0"/>
              <w:left w:val="single" w:color="auto" w:sz="4" w:space="0"/>
              <w:right w:val="single" w:color="auto" w:sz="4" w:space="0"/>
            </w:tcBorders>
            <w:vAlign w:val="center"/>
          </w:tcPr>
          <w:p w14:paraId="3D433CC0">
            <w:pPr>
              <w:pStyle w:val="32"/>
              <w:keepNext w:val="0"/>
              <w:keepLines w:val="0"/>
              <w:pageBreakBefore w:val="0"/>
              <w:widowControl/>
              <w:kinsoku/>
              <w:wordWrap/>
              <w:overflowPunct/>
              <w:topLinePunct w:val="0"/>
              <w:autoSpaceDE/>
              <w:autoSpaceDN/>
              <w:bidi w:val="0"/>
              <w:adjustRightInd/>
              <w:snapToGrid w:val="0"/>
              <w:spacing w:line="300" w:lineRule="exact"/>
              <w:contextualSpacing/>
              <w:jc w:val="left"/>
              <w:textAlignment w:val="auto"/>
              <w:rPr>
                <w:rFonts w:hint="eastAsia" w:asciiTheme="majorEastAsia" w:hAnsiTheme="majorEastAsia" w:eastAsiaTheme="majorEastAsia" w:cstheme="majorEastAsia"/>
                <w:color w:val="auto"/>
                <w:kern w:val="0"/>
                <w:sz w:val="24"/>
                <w:szCs w:val="24"/>
              </w:rPr>
            </w:pPr>
            <w:r>
              <w:rPr>
                <w:rFonts w:hint="eastAsia" w:asciiTheme="majorEastAsia" w:hAnsiTheme="majorEastAsia" w:eastAsiaTheme="majorEastAsia" w:cstheme="majorEastAsia"/>
                <w:color w:val="auto"/>
                <w:kern w:val="0"/>
                <w:sz w:val="24"/>
                <w:szCs w:val="24"/>
              </w:rPr>
              <w:t>OBD环保检测终端</w:t>
            </w:r>
          </w:p>
        </w:tc>
        <w:tc>
          <w:tcPr>
            <w:tcW w:w="1207" w:type="dxa"/>
            <w:tcBorders>
              <w:top w:val="single" w:color="auto" w:sz="4" w:space="0"/>
              <w:left w:val="single" w:color="auto" w:sz="4" w:space="0"/>
              <w:right w:val="single" w:color="auto" w:sz="4" w:space="0"/>
            </w:tcBorders>
            <w:vAlign w:val="center"/>
          </w:tcPr>
          <w:p w14:paraId="248878D8">
            <w:pPr>
              <w:pStyle w:val="32"/>
              <w:keepNext w:val="0"/>
              <w:keepLines w:val="0"/>
              <w:pageBreakBefore w:val="0"/>
              <w:widowControl/>
              <w:kinsoku/>
              <w:wordWrap/>
              <w:overflowPunct/>
              <w:topLinePunct w:val="0"/>
              <w:autoSpaceDE/>
              <w:autoSpaceDN/>
              <w:bidi w:val="0"/>
              <w:adjustRightInd/>
              <w:snapToGrid w:val="0"/>
              <w:spacing w:line="300" w:lineRule="exact"/>
              <w:contextualSpacing/>
              <w:jc w:val="center"/>
              <w:textAlignment w:val="auto"/>
              <w:rPr>
                <w:rFonts w:hint="eastAsia" w:asciiTheme="majorEastAsia" w:hAnsiTheme="majorEastAsia" w:eastAsiaTheme="majorEastAsia" w:cstheme="majorEastAsia"/>
                <w:color w:val="auto"/>
                <w:kern w:val="0"/>
                <w:sz w:val="24"/>
                <w:szCs w:val="24"/>
                <w:lang w:val="en-US" w:eastAsia="zh-CN"/>
              </w:rPr>
            </w:pPr>
            <w:r>
              <w:rPr>
                <w:rFonts w:hint="eastAsia" w:asciiTheme="majorEastAsia" w:hAnsiTheme="majorEastAsia" w:eastAsiaTheme="majorEastAsia" w:cstheme="majorEastAsia"/>
                <w:color w:val="auto"/>
                <w:kern w:val="0"/>
                <w:sz w:val="24"/>
                <w:szCs w:val="24"/>
                <w:lang w:val="en-US" w:eastAsia="zh-CN"/>
              </w:rPr>
              <w:t>1</w:t>
            </w:r>
          </w:p>
        </w:tc>
        <w:tc>
          <w:tcPr>
            <w:tcW w:w="1225" w:type="dxa"/>
            <w:tcBorders>
              <w:top w:val="single" w:color="auto" w:sz="4" w:space="0"/>
              <w:left w:val="single" w:color="auto" w:sz="4" w:space="0"/>
              <w:right w:val="single" w:color="auto" w:sz="4" w:space="0"/>
            </w:tcBorders>
            <w:vAlign w:val="center"/>
          </w:tcPr>
          <w:p w14:paraId="32DD27CE">
            <w:pPr>
              <w:keepNext w:val="0"/>
              <w:keepLines w:val="0"/>
              <w:pageBreakBefore w:val="0"/>
              <w:widowControl/>
              <w:kinsoku/>
              <w:wordWrap/>
              <w:overflowPunct/>
              <w:topLinePunct w:val="0"/>
              <w:autoSpaceDE/>
              <w:autoSpaceDN/>
              <w:bidi w:val="0"/>
              <w:adjustRightInd/>
              <w:snapToGrid w:val="0"/>
              <w:spacing w:line="300" w:lineRule="exact"/>
              <w:ind w:left="0" w:leftChars="0" w:firstLine="0" w:firstLineChars="0"/>
              <w:contextualSpacing/>
              <w:jc w:val="center"/>
              <w:textAlignment w:val="auto"/>
              <w:rPr>
                <w:rFonts w:hint="eastAsia" w:asciiTheme="majorEastAsia" w:hAnsiTheme="majorEastAsia" w:eastAsiaTheme="majorEastAsia" w:cstheme="majorEastAsia"/>
                <w:color w:val="auto"/>
                <w:kern w:val="0"/>
                <w:sz w:val="24"/>
                <w:szCs w:val="24"/>
              </w:rPr>
            </w:pPr>
            <w:r>
              <w:rPr>
                <w:rFonts w:hint="eastAsia" w:asciiTheme="majorEastAsia" w:hAnsiTheme="majorEastAsia" w:eastAsiaTheme="majorEastAsia" w:cstheme="majorEastAsia"/>
                <w:color w:val="auto"/>
                <w:sz w:val="24"/>
                <w:szCs w:val="24"/>
                <w:lang w:val="en-US" w:eastAsia="zh-CN"/>
              </w:rPr>
              <w:t>个</w:t>
            </w:r>
          </w:p>
        </w:tc>
      </w:tr>
      <w:tr w14:paraId="6F1A9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jc w:val="center"/>
        </w:trPr>
        <w:tc>
          <w:tcPr>
            <w:tcW w:w="932" w:type="dxa"/>
            <w:tcBorders>
              <w:left w:val="single" w:color="auto" w:sz="4" w:space="0"/>
              <w:right w:val="single" w:color="auto" w:sz="4" w:space="0"/>
            </w:tcBorders>
            <w:vAlign w:val="center"/>
          </w:tcPr>
          <w:p w14:paraId="733425CC">
            <w:pPr>
              <w:pStyle w:val="32"/>
              <w:keepNext w:val="0"/>
              <w:keepLines w:val="0"/>
              <w:pageBreakBefore w:val="0"/>
              <w:widowControl/>
              <w:kinsoku/>
              <w:wordWrap/>
              <w:overflowPunct/>
              <w:topLinePunct w:val="0"/>
              <w:autoSpaceDE/>
              <w:autoSpaceDN/>
              <w:bidi w:val="0"/>
              <w:adjustRightInd/>
              <w:snapToGrid w:val="0"/>
              <w:spacing w:line="300" w:lineRule="exact"/>
              <w:contextualSpacing/>
              <w:jc w:val="center"/>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7</w:t>
            </w:r>
          </w:p>
        </w:tc>
        <w:tc>
          <w:tcPr>
            <w:tcW w:w="4098" w:type="dxa"/>
            <w:tcBorders>
              <w:top w:val="single" w:color="auto" w:sz="4" w:space="0"/>
              <w:left w:val="single" w:color="auto" w:sz="4" w:space="0"/>
              <w:right w:val="single" w:color="auto" w:sz="4" w:space="0"/>
            </w:tcBorders>
            <w:vAlign w:val="center"/>
          </w:tcPr>
          <w:p w14:paraId="626B00E9">
            <w:pPr>
              <w:pStyle w:val="32"/>
              <w:keepNext w:val="0"/>
              <w:keepLines w:val="0"/>
              <w:pageBreakBefore w:val="0"/>
              <w:widowControl/>
              <w:kinsoku/>
              <w:wordWrap/>
              <w:overflowPunct/>
              <w:topLinePunct w:val="0"/>
              <w:autoSpaceDE/>
              <w:autoSpaceDN/>
              <w:bidi w:val="0"/>
              <w:adjustRightInd/>
              <w:snapToGrid w:val="0"/>
              <w:spacing w:line="300" w:lineRule="exact"/>
              <w:contextualSpacing/>
              <w:jc w:val="left"/>
              <w:textAlignment w:val="auto"/>
              <w:rPr>
                <w:rFonts w:hint="eastAsia" w:asciiTheme="majorEastAsia" w:hAnsiTheme="majorEastAsia" w:eastAsiaTheme="majorEastAsia" w:cstheme="majorEastAsia"/>
                <w:color w:val="auto"/>
                <w:kern w:val="0"/>
                <w:sz w:val="24"/>
                <w:szCs w:val="24"/>
              </w:rPr>
            </w:pPr>
            <w:r>
              <w:rPr>
                <w:rFonts w:hint="eastAsia" w:asciiTheme="majorEastAsia" w:hAnsiTheme="majorEastAsia" w:eastAsiaTheme="majorEastAsia" w:cstheme="majorEastAsia"/>
                <w:color w:val="auto"/>
                <w:kern w:val="0"/>
                <w:sz w:val="24"/>
                <w:szCs w:val="24"/>
              </w:rPr>
              <w:t>示踪剂</w:t>
            </w:r>
          </w:p>
        </w:tc>
        <w:tc>
          <w:tcPr>
            <w:tcW w:w="1207" w:type="dxa"/>
            <w:tcBorders>
              <w:left w:val="single" w:color="auto" w:sz="4" w:space="0"/>
              <w:right w:val="single" w:color="auto" w:sz="4" w:space="0"/>
            </w:tcBorders>
            <w:vAlign w:val="center"/>
          </w:tcPr>
          <w:p w14:paraId="3E0EC7C8">
            <w:pPr>
              <w:pStyle w:val="32"/>
              <w:keepNext w:val="0"/>
              <w:keepLines w:val="0"/>
              <w:pageBreakBefore w:val="0"/>
              <w:widowControl/>
              <w:kinsoku/>
              <w:wordWrap/>
              <w:overflowPunct/>
              <w:topLinePunct w:val="0"/>
              <w:autoSpaceDE/>
              <w:autoSpaceDN/>
              <w:bidi w:val="0"/>
              <w:adjustRightInd/>
              <w:snapToGrid w:val="0"/>
              <w:spacing w:line="300" w:lineRule="exact"/>
              <w:contextualSpacing/>
              <w:jc w:val="center"/>
              <w:textAlignment w:val="auto"/>
              <w:rPr>
                <w:rFonts w:hint="default" w:asciiTheme="majorEastAsia" w:hAnsiTheme="majorEastAsia" w:eastAsiaTheme="majorEastAsia" w:cstheme="majorEastAsia"/>
                <w:color w:val="auto"/>
                <w:kern w:val="0"/>
                <w:sz w:val="24"/>
                <w:szCs w:val="24"/>
                <w:lang w:val="en-US" w:eastAsia="zh-CN"/>
              </w:rPr>
            </w:pPr>
            <w:r>
              <w:rPr>
                <w:rFonts w:hint="eastAsia" w:asciiTheme="majorEastAsia" w:hAnsiTheme="majorEastAsia" w:eastAsiaTheme="majorEastAsia" w:cstheme="majorEastAsia"/>
                <w:color w:val="auto"/>
                <w:kern w:val="0"/>
                <w:sz w:val="24"/>
                <w:szCs w:val="24"/>
                <w:lang w:val="en-US" w:eastAsia="zh-CN"/>
              </w:rPr>
              <w:t>10</w:t>
            </w:r>
          </w:p>
        </w:tc>
        <w:tc>
          <w:tcPr>
            <w:tcW w:w="1225" w:type="dxa"/>
            <w:tcBorders>
              <w:left w:val="single" w:color="auto" w:sz="4" w:space="0"/>
              <w:right w:val="single" w:color="auto" w:sz="4" w:space="0"/>
            </w:tcBorders>
            <w:vAlign w:val="center"/>
          </w:tcPr>
          <w:p w14:paraId="58131507">
            <w:pPr>
              <w:pStyle w:val="32"/>
              <w:keepNext w:val="0"/>
              <w:keepLines w:val="0"/>
              <w:pageBreakBefore w:val="0"/>
              <w:widowControl/>
              <w:kinsoku/>
              <w:wordWrap/>
              <w:overflowPunct/>
              <w:topLinePunct w:val="0"/>
              <w:autoSpaceDE/>
              <w:autoSpaceDN/>
              <w:bidi w:val="0"/>
              <w:adjustRightInd/>
              <w:snapToGrid w:val="0"/>
              <w:spacing w:line="300" w:lineRule="exact"/>
              <w:contextualSpacing/>
              <w:jc w:val="center"/>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个</w:t>
            </w:r>
          </w:p>
        </w:tc>
      </w:tr>
    </w:tbl>
    <w:p w14:paraId="43E5A726">
      <w:pPr>
        <w:keepNext w:val="0"/>
        <w:keepLines w:val="0"/>
        <w:pageBreakBefore w:val="0"/>
        <w:widowControl w:val="0"/>
        <w:kinsoku/>
        <w:wordWrap/>
        <w:overflowPunct/>
        <w:topLinePunct w:val="0"/>
        <w:autoSpaceDE/>
        <w:autoSpaceDN/>
        <w:bidi w:val="0"/>
        <w:adjustRightInd/>
        <w:snapToGrid/>
        <w:spacing w:line="440" w:lineRule="exact"/>
        <w:ind w:left="0" w:leftChars="0" w:firstLine="482" w:firstLineChars="200"/>
        <w:textAlignment w:val="auto"/>
        <w:rPr>
          <w:rFonts w:hint="eastAsia" w:ascii="宋体" w:hAnsi="宋体" w:eastAsia="宋体" w:cs="宋体"/>
          <w:b/>
          <w:bCs/>
          <w:color w:val="auto"/>
          <w:kern w:val="0"/>
          <w:sz w:val="24"/>
          <w:szCs w:val="24"/>
        </w:rPr>
      </w:pPr>
      <w:r>
        <w:rPr>
          <w:rFonts w:hint="eastAsia" w:cs="宋体"/>
          <w:b/>
          <w:bCs/>
          <w:color w:val="auto"/>
          <w:kern w:val="0"/>
          <w:sz w:val="24"/>
          <w:szCs w:val="24"/>
          <w:lang w:eastAsia="zh-CN"/>
        </w:rPr>
        <w:t>（</w:t>
      </w:r>
      <w:r>
        <w:rPr>
          <w:rFonts w:hint="eastAsia" w:cs="宋体"/>
          <w:b/>
          <w:bCs/>
          <w:color w:val="auto"/>
          <w:kern w:val="0"/>
          <w:sz w:val="24"/>
          <w:szCs w:val="24"/>
          <w:lang w:val="en-US" w:eastAsia="zh-CN"/>
        </w:rPr>
        <w:t>三</w:t>
      </w:r>
      <w:r>
        <w:rPr>
          <w:rFonts w:hint="eastAsia" w:cs="宋体"/>
          <w:b/>
          <w:bCs/>
          <w:color w:val="auto"/>
          <w:kern w:val="0"/>
          <w:sz w:val="24"/>
          <w:szCs w:val="24"/>
          <w:lang w:eastAsia="zh-CN"/>
        </w:rPr>
        <w:t>）</w:t>
      </w:r>
      <w:r>
        <w:rPr>
          <w:rFonts w:hint="eastAsia" w:ascii="宋体" w:hAnsi="宋体" w:eastAsia="宋体" w:cs="宋体"/>
          <w:b/>
          <w:bCs/>
          <w:color w:val="auto"/>
          <w:kern w:val="0"/>
          <w:sz w:val="24"/>
          <w:szCs w:val="24"/>
        </w:rPr>
        <w:t>交货期、交货地点、质量要求、质保期限</w:t>
      </w:r>
    </w:p>
    <w:p w14:paraId="49A8AF27">
      <w:pPr>
        <w:keepNext w:val="0"/>
        <w:keepLines w:val="0"/>
        <w:pageBreakBefore w:val="0"/>
        <w:widowControl w:val="0"/>
        <w:kinsoku/>
        <w:wordWrap/>
        <w:overflowPunct/>
        <w:topLinePunct w:val="0"/>
        <w:autoSpaceDE/>
        <w:autoSpaceDN/>
        <w:bidi w:val="0"/>
        <w:adjustRightInd/>
        <w:snapToGrid/>
        <w:spacing w:line="440" w:lineRule="exact"/>
        <w:ind w:leftChars="0" w:firstLine="482" w:firstLineChars="200"/>
        <w:textAlignment w:val="auto"/>
        <w:rPr>
          <w:rFonts w:hint="eastAsia" w:ascii="宋体" w:hAnsi="宋体" w:eastAsia="宋体" w:cs="宋体"/>
          <w:color w:val="auto"/>
          <w:kern w:val="0"/>
          <w:sz w:val="24"/>
          <w:szCs w:val="24"/>
        </w:rPr>
      </w:pPr>
      <w:r>
        <w:rPr>
          <w:rFonts w:hint="eastAsia" w:ascii="宋体" w:hAnsi="宋体" w:eastAsia="宋体" w:cs="宋体"/>
          <w:b/>
          <w:bCs/>
          <w:color w:val="auto"/>
          <w:kern w:val="0"/>
          <w:sz w:val="24"/>
          <w:szCs w:val="24"/>
        </w:rPr>
        <w:t>1</w:t>
      </w:r>
      <w:r>
        <w:rPr>
          <w:rFonts w:hint="eastAsia" w:cs="宋体"/>
          <w:b/>
          <w:bCs/>
          <w:color w:val="auto"/>
          <w:kern w:val="0"/>
          <w:sz w:val="24"/>
          <w:szCs w:val="24"/>
          <w:lang w:val="en-US" w:eastAsia="zh-CN"/>
        </w:rPr>
        <w:t>.</w:t>
      </w:r>
      <w:r>
        <w:rPr>
          <w:rFonts w:hint="eastAsia" w:ascii="宋体" w:hAnsi="宋体" w:eastAsia="宋体" w:cs="宋体"/>
          <w:b/>
          <w:bCs/>
          <w:color w:val="auto"/>
          <w:kern w:val="0"/>
          <w:sz w:val="24"/>
          <w:szCs w:val="24"/>
        </w:rPr>
        <w:t>交货期（服务时间）：</w:t>
      </w:r>
      <w:r>
        <w:rPr>
          <w:rFonts w:hint="eastAsia" w:ascii="宋体" w:hAnsi="宋体" w:eastAsia="宋体" w:cs="宋体"/>
          <w:color w:val="auto"/>
          <w:kern w:val="0"/>
          <w:sz w:val="24"/>
          <w:szCs w:val="24"/>
        </w:rPr>
        <w:t>自合同签订之日起30个工作日。</w:t>
      </w:r>
    </w:p>
    <w:p w14:paraId="4813922B">
      <w:pPr>
        <w:keepNext w:val="0"/>
        <w:keepLines w:val="0"/>
        <w:pageBreakBefore w:val="0"/>
        <w:widowControl w:val="0"/>
        <w:kinsoku/>
        <w:wordWrap/>
        <w:overflowPunct/>
        <w:topLinePunct w:val="0"/>
        <w:autoSpaceDE/>
        <w:autoSpaceDN/>
        <w:bidi w:val="0"/>
        <w:adjustRightInd/>
        <w:snapToGrid/>
        <w:spacing w:line="440" w:lineRule="exact"/>
        <w:ind w:leftChars="0" w:firstLine="482" w:firstLineChars="200"/>
        <w:textAlignment w:val="auto"/>
        <w:rPr>
          <w:rFonts w:hint="eastAsia" w:ascii="宋体" w:hAnsi="宋体" w:eastAsia="宋体" w:cs="宋体"/>
          <w:color w:val="auto"/>
          <w:kern w:val="0"/>
          <w:sz w:val="24"/>
          <w:szCs w:val="24"/>
        </w:rPr>
      </w:pPr>
      <w:r>
        <w:rPr>
          <w:rFonts w:hint="eastAsia" w:ascii="宋体" w:hAnsi="宋体" w:eastAsia="宋体" w:cs="宋体"/>
          <w:b/>
          <w:bCs/>
          <w:color w:val="auto"/>
          <w:kern w:val="0"/>
          <w:sz w:val="24"/>
          <w:szCs w:val="24"/>
        </w:rPr>
        <w:t>2</w:t>
      </w:r>
      <w:r>
        <w:rPr>
          <w:rFonts w:hint="eastAsia" w:cs="宋体"/>
          <w:b/>
          <w:bCs/>
          <w:color w:val="auto"/>
          <w:kern w:val="0"/>
          <w:sz w:val="24"/>
          <w:szCs w:val="24"/>
          <w:lang w:val="en-US" w:eastAsia="zh-CN"/>
        </w:rPr>
        <w:t>.</w:t>
      </w:r>
      <w:r>
        <w:rPr>
          <w:rFonts w:hint="eastAsia" w:ascii="宋体" w:hAnsi="宋体" w:eastAsia="宋体" w:cs="宋体"/>
          <w:b/>
          <w:bCs/>
          <w:color w:val="auto"/>
          <w:kern w:val="0"/>
          <w:sz w:val="24"/>
          <w:szCs w:val="24"/>
        </w:rPr>
        <w:t>交货（服务）地点：</w:t>
      </w:r>
      <w:r>
        <w:rPr>
          <w:rFonts w:hint="eastAsia" w:ascii="宋体" w:hAnsi="宋体" w:eastAsia="宋体" w:cs="宋体"/>
          <w:color w:val="auto"/>
          <w:kern w:val="0"/>
          <w:sz w:val="24"/>
          <w:szCs w:val="24"/>
        </w:rPr>
        <w:t>采购人指定地点。</w:t>
      </w:r>
    </w:p>
    <w:p w14:paraId="634120B9">
      <w:pPr>
        <w:keepNext w:val="0"/>
        <w:keepLines w:val="0"/>
        <w:pageBreakBefore w:val="0"/>
        <w:widowControl w:val="0"/>
        <w:kinsoku/>
        <w:wordWrap/>
        <w:overflowPunct/>
        <w:topLinePunct w:val="0"/>
        <w:autoSpaceDE/>
        <w:autoSpaceDN/>
        <w:bidi w:val="0"/>
        <w:adjustRightInd/>
        <w:snapToGrid/>
        <w:spacing w:line="440" w:lineRule="exact"/>
        <w:ind w:leftChars="0" w:firstLine="482" w:firstLineChars="200"/>
        <w:textAlignment w:val="auto"/>
        <w:rPr>
          <w:rFonts w:hint="eastAsia" w:ascii="宋体" w:hAnsi="宋体" w:eastAsia="宋体" w:cs="宋体"/>
          <w:color w:val="auto"/>
          <w:kern w:val="0"/>
          <w:sz w:val="24"/>
          <w:szCs w:val="24"/>
          <w:lang w:eastAsia="zh-CN"/>
        </w:rPr>
      </w:pPr>
      <w:r>
        <w:rPr>
          <w:rFonts w:hint="eastAsia" w:ascii="宋体" w:hAnsi="宋体" w:eastAsia="宋体" w:cs="宋体"/>
          <w:b/>
          <w:bCs/>
          <w:color w:val="auto"/>
          <w:kern w:val="0"/>
          <w:sz w:val="24"/>
          <w:szCs w:val="24"/>
        </w:rPr>
        <w:t>3</w:t>
      </w:r>
      <w:r>
        <w:rPr>
          <w:rFonts w:hint="eastAsia" w:cs="宋体"/>
          <w:b/>
          <w:bCs/>
          <w:color w:val="auto"/>
          <w:kern w:val="0"/>
          <w:sz w:val="24"/>
          <w:szCs w:val="24"/>
          <w:lang w:val="en-US" w:eastAsia="zh-CN"/>
        </w:rPr>
        <w:t>.</w:t>
      </w:r>
      <w:r>
        <w:rPr>
          <w:rFonts w:hint="eastAsia" w:ascii="宋体" w:hAnsi="宋体" w:eastAsia="宋体" w:cs="宋体"/>
          <w:b/>
          <w:bCs/>
          <w:color w:val="auto"/>
          <w:kern w:val="0"/>
          <w:sz w:val="24"/>
          <w:szCs w:val="24"/>
        </w:rPr>
        <w:t>货物质量要求：</w:t>
      </w:r>
      <w:r>
        <w:rPr>
          <w:rFonts w:hint="eastAsia" w:ascii="宋体" w:hAnsi="宋体" w:eastAsia="宋体" w:cs="宋体"/>
          <w:color w:val="auto"/>
          <w:kern w:val="0"/>
          <w:sz w:val="24"/>
          <w:szCs w:val="24"/>
        </w:rPr>
        <w:t>产品必须是全新、未使用过的原装合格正品，完全符合采购文件规定的质量、规格和性能的要求，达到国家或行业规定的标准</w:t>
      </w:r>
      <w:r>
        <w:rPr>
          <w:rFonts w:hint="eastAsia" w:cs="宋体"/>
          <w:color w:val="auto"/>
          <w:kern w:val="0"/>
          <w:sz w:val="24"/>
          <w:szCs w:val="24"/>
          <w:lang w:eastAsia="zh-CN"/>
        </w:rPr>
        <w:t>。</w:t>
      </w:r>
    </w:p>
    <w:p w14:paraId="1F9C02AF">
      <w:pPr>
        <w:keepNext w:val="0"/>
        <w:keepLines w:val="0"/>
        <w:pageBreakBefore w:val="0"/>
        <w:widowControl w:val="0"/>
        <w:kinsoku/>
        <w:wordWrap/>
        <w:overflowPunct/>
        <w:topLinePunct w:val="0"/>
        <w:autoSpaceDE/>
        <w:autoSpaceDN/>
        <w:bidi w:val="0"/>
        <w:adjustRightInd/>
        <w:snapToGrid/>
        <w:spacing w:line="440" w:lineRule="exact"/>
        <w:ind w:leftChars="0" w:firstLine="482" w:firstLineChars="200"/>
        <w:textAlignment w:val="auto"/>
        <w:rPr>
          <w:rFonts w:hint="eastAsia" w:ascii="宋体" w:hAnsi="宋体" w:eastAsia="宋体" w:cs="宋体"/>
          <w:color w:val="auto"/>
          <w:kern w:val="0"/>
          <w:sz w:val="24"/>
          <w:szCs w:val="24"/>
        </w:rPr>
      </w:pPr>
      <w:r>
        <w:rPr>
          <w:rFonts w:hint="eastAsia" w:ascii="宋体" w:hAnsi="宋体" w:eastAsia="宋体" w:cs="宋体"/>
          <w:b/>
          <w:bCs/>
          <w:color w:val="auto"/>
          <w:kern w:val="0"/>
          <w:sz w:val="24"/>
          <w:szCs w:val="24"/>
        </w:rPr>
        <w:t>4</w:t>
      </w:r>
      <w:r>
        <w:rPr>
          <w:rFonts w:hint="eastAsia" w:cs="宋体"/>
          <w:b/>
          <w:bCs/>
          <w:color w:val="auto"/>
          <w:kern w:val="0"/>
          <w:sz w:val="24"/>
          <w:szCs w:val="24"/>
          <w:lang w:val="en-US" w:eastAsia="zh-CN"/>
        </w:rPr>
        <w:t>.</w:t>
      </w:r>
      <w:r>
        <w:rPr>
          <w:rFonts w:hint="eastAsia" w:ascii="宋体" w:hAnsi="宋体" w:eastAsia="宋体" w:cs="宋体"/>
          <w:b/>
          <w:bCs/>
          <w:color w:val="auto"/>
          <w:kern w:val="0"/>
          <w:sz w:val="24"/>
          <w:szCs w:val="24"/>
        </w:rPr>
        <w:t>质保期限（自交货并验收合格之日起计）：</w:t>
      </w:r>
      <w:r>
        <w:rPr>
          <w:rFonts w:hint="eastAsia" w:cs="宋体"/>
          <w:b w:val="0"/>
          <w:bCs w:val="0"/>
          <w:color w:val="auto"/>
          <w:kern w:val="0"/>
          <w:sz w:val="24"/>
          <w:szCs w:val="24"/>
          <w:lang w:val="en-US" w:eastAsia="zh-CN"/>
        </w:rPr>
        <w:t>2</w:t>
      </w:r>
      <w:r>
        <w:rPr>
          <w:rFonts w:hint="eastAsia" w:ascii="宋体" w:hAnsi="宋体" w:eastAsia="宋体" w:cs="宋体"/>
          <w:color w:val="auto"/>
          <w:kern w:val="0"/>
          <w:sz w:val="24"/>
          <w:szCs w:val="24"/>
        </w:rPr>
        <w:t>年。</w:t>
      </w:r>
      <w:r>
        <w:rPr>
          <w:rFonts w:hint="eastAsia" w:cs="宋体"/>
          <w:color w:val="auto"/>
          <w:kern w:val="0"/>
          <w:sz w:val="24"/>
          <w:szCs w:val="24"/>
          <w:lang w:val="en-US" w:eastAsia="zh-CN"/>
        </w:rPr>
        <w:t>如原厂承诺的质保期高于本项目要求，则按高的执行。</w:t>
      </w:r>
      <w:r>
        <w:rPr>
          <w:rFonts w:hint="eastAsia" w:ascii="宋体" w:hAnsi="宋体" w:eastAsia="宋体" w:cs="宋体"/>
          <w:color w:val="auto"/>
          <w:kern w:val="0"/>
          <w:sz w:val="24"/>
          <w:szCs w:val="24"/>
        </w:rPr>
        <w:t>质保期内，仪器出现故障免费维修，质保期外的维修收费按国家和供应商的相关规定办理。质保期内，成交供应商接到故障电话立即响应，4小时内达到现场，6小时内提出解决方案，48小时内完成修复</w:t>
      </w:r>
      <w:r>
        <w:rPr>
          <w:rFonts w:hint="eastAsia" w:ascii="宋体" w:hAnsi="宋体" w:cs="宋体"/>
          <w:color w:val="auto"/>
          <w:kern w:val="0"/>
          <w:sz w:val="24"/>
          <w:szCs w:val="24"/>
          <w:lang w:val="en-US" w:eastAsia="zh-CN"/>
        </w:rPr>
        <w:t>。</w:t>
      </w:r>
    </w:p>
    <w:p w14:paraId="009106EF">
      <w:pPr>
        <w:keepNext w:val="0"/>
        <w:keepLines w:val="0"/>
        <w:pageBreakBefore w:val="0"/>
        <w:widowControl w:val="0"/>
        <w:kinsoku/>
        <w:wordWrap/>
        <w:overflowPunct/>
        <w:topLinePunct w:val="0"/>
        <w:autoSpaceDE/>
        <w:autoSpaceDN/>
        <w:bidi w:val="0"/>
        <w:adjustRightInd/>
        <w:snapToGrid/>
        <w:spacing w:line="440" w:lineRule="exact"/>
        <w:ind w:leftChars="0" w:firstLine="482" w:firstLineChars="200"/>
        <w:textAlignment w:val="auto"/>
        <w:rPr>
          <w:rFonts w:hint="default" w:cs="宋体"/>
          <w:b/>
          <w:bCs/>
          <w:color w:val="auto"/>
          <w:kern w:val="0"/>
          <w:sz w:val="24"/>
          <w:szCs w:val="24"/>
          <w:lang w:val="en-US" w:eastAsia="zh-CN"/>
        </w:rPr>
      </w:pPr>
      <w:r>
        <w:rPr>
          <w:rFonts w:hint="eastAsia" w:cs="宋体"/>
          <w:b/>
          <w:bCs/>
          <w:color w:val="auto"/>
          <w:kern w:val="0"/>
          <w:sz w:val="24"/>
          <w:szCs w:val="24"/>
          <w:lang w:eastAsia="zh-CN"/>
        </w:rPr>
        <w:t>（</w:t>
      </w:r>
      <w:r>
        <w:rPr>
          <w:rFonts w:hint="eastAsia" w:cs="宋体"/>
          <w:b/>
          <w:bCs/>
          <w:color w:val="auto"/>
          <w:kern w:val="0"/>
          <w:sz w:val="24"/>
          <w:szCs w:val="24"/>
          <w:lang w:val="en-US" w:eastAsia="zh-CN"/>
        </w:rPr>
        <w:t>四</w:t>
      </w:r>
      <w:r>
        <w:rPr>
          <w:rFonts w:hint="eastAsia" w:cs="宋体"/>
          <w:b/>
          <w:bCs/>
          <w:color w:val="auto"/>
          <w:kern w:val="0"/>
          <w:sz w:val="24"/>
          <w:szCs w:val="24"/>
          <w:lang w:eastAsia="zh-CN"/>
        </w:rPr>
        <w:t>）</w:t>
      </w:r>
      <w:r>
        <w:rPr>
          <w:rFonts w:hint="eastAsia" w:cs="宋体"/>
          <w:b/>
          <w:bCs/>
          <w:color w:val="auto"/>
          <w:kern w:val="0"/>
          <w:sz w:val="24"/>
          <w:szCs w:val="24"/>
          <w:lang w:val="en-US" w:eastAsia="zh-CN"/>
        </w:rPr>
        <w:t>技术参数</w:t>
      </w:r>
    </w:p>
    <w:p w14:paraId="258ADD2E">
      <w:pPr>
        <w:pStyle w:val="2"/>
        <w:pageBreakBefore w:val="0"/>
        <w:widowControl w:val="0"/>
        <w:kinsoku/>
        <w:wordWrap/>
        <w:overflowPunct/>
        <w:topLinePunct w:val="0"/>
        <w:autoSpaceDE/>
        <w:autoSpaceDN/>
        <w:bidi w:val="0"/>
        <w:adjustRightInd/>
        <w:snapToGrid/>
        <w:spacing w:before="0" w:after="0" w:line="440" w:lineRule="exact"/>
        <w:ind w:leftChars="0"/>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1.平板（包含键盘套和触屏笔）</w:t>
      </w:r>
    </w:p>
    <w:p w14:paraId="37C42B4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jc w:val="left"/>
        <w:textAlignment w:val="auto"/>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kern w:val="2"/>
          <w:sz w:val="24"/>
          <w:szCs w:val="24"/>
          <w:lang w:val="en-US" w:eastAsia="zh-CN" w:bidi="ar-SA"/>
        </w:rPr>
        <w:t>（1）网络连接：需支持SIM卡；</w:t>
      </w:r>
    </w:p>
    <w:p w14:paraId="72450CA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jc w:val="left"/>
        <w:textAlignment w:val="auto"/>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kern w:val="2"/>
          <w:sz w:val="24"/>
          <w:szCs w:val="24"/>
          <w:lang w:val="en-US" w:eastAsia="zh-CN" w:bidi="ar-SA"/>
        </w:rPr>
        <w:t>（2）CPU型号：麒麟系列；</w:t>
      </w:r>
    </w:p>
    <w:p w14:paraId="5E25030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jc w:val="left"/>
        <w:textAlignment w:val="auto"/>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kern w:val="2"/>
          <w:sz w:val="24"/>
          <w:szCs w:val="24"/>
          <w:lang w:val="en-US" w:eastAsia="zh-CN" w:bidi="ar-SA"/>
        </w:rPr>
        <w:t>（3）前置摄像头像素：1600万像素智慧感知摄像头；</w:t>
      </w:r>
    </w:p>
    <w:p w14:paraId="5CAF0E5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jc w:val="left"/>
        <w:textAlignment w:val="auto"/>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kern w:val="2"/>
          <w:sz w:val="24"/>
          <w:szCs w:val="24"/>
          <w:lang w:val="en-US" w:eastAsia="zh-CN" w:bidi="ar-SA"/>
        </w:rPr>
        <w:t>（4）后置摄像头像素：5000万像素摄像头；</w:t>
      </w:r>
    </w:p>
    <w:p w14:paraId="38BD497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jc w:val="left"/>
        <w:textAlignment w:val="auto"/>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kern w:val="2"/>
          <w:sz w:val="24"/>
          <w:szCs w:val="24"/>
          <w:lang w:val="en-US" w:eastAsia="zh-CN" w:bidi="ar-SA"/>
        </w:rPr>
        <w:t>（5）北斗卫星导航系统：仅支持单北斗</w:t>
      </w:r>
      <w:r>
        <w:rPr>
          <w:rFonts w:hint="eastAsia" w:asciiTheme="majorEastAsia" w:hAnsiTheme="majorEastAsia" w:eastAsiaTheme="majorEastAsia" w:cstheme="majorEastAsia"/>
          <w:color w:val="auto"/>
          <w:sz w:val="24"/>
          <w:szCs w:val="24"/>
        </w:rPr>
        <w:t>定位模式</w:t>
      </w:r>
      <w:r>
        <w:rPr>
          <w:rFonts w:hint="eastAsia" w:asciiTheme="majorEastAsia" w:hAnsiTheme="majorEastAsia" w:eastAsiaTheme="majorEastAsia" w:cstheme="majorEastAsia"/>
          <w:color w:val="auto"/>
          <w:sz w:val="24"/>
          <w:szCs w:val="24"/>
          <w:lang w:eastAsia="zh-CN"/>
        </w:rPr>
        <w:t>；</w:t>
      </w:r>
    </w:p>
    <w:p w14:paraId="782D9AE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jc w:val="left"/>
        <w:textAlignment w:val="auto"/>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kern w:val="2"/>
          <w:sz w:val="24"/>
          <w:szCs w:val="24"/>
          <w:lang w:val="en-US" w:eastAsia="zh-CN" w:bidi="ar-SA"/>
        </w:rPr>
        <w:t>（6）电池容量：≥10100</w:t>
      </w:r>
      <w:r>
        <w:rPr>
          <w:rFonts w:hint="eastAsia" w:asciiTheme="majorEastAsia" w:hAnsiTheme="majorEastAsia" w:eastAsiaTheme="majorEastAsia" w:cstheme="majorEastAsia"/>
          <w:color w:val="auto"/>
          <w:kern w:val="2"/>
          <w:sz w:val="24"/>
          <w:szCs w:val="24"/>
          <w:lang w:val="zh-CN" w:eastAsia="zh-CN" w:bidi="ar-SA"/>
        </w:rPr>
        <w:t>mAh；</w:t>
      </w:r>
    </w:p>
    <w:p w14:paraId="03D85A8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jc w:val="left"/>
        <w:textAlignment w:val="auto"/>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kern w:val="2"/>
          <w:sz w:val="24"/>
          <w:szCs w:val="24"/>
          <w:lang w:val="en-US" w:eastAsia="zh-CN" w:bidi="ar-SA"/>
        </w:rPr>
        <w:t>（7）存储容量：≥256GB；</w:t>
      </w:r>
    </w:p>
    <w:p w14:paraId="36705DF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jc w:val="left"/>
        <w:textAlignment w:val="auto"/>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kern w:val="2"/>
          <w:sz w:val="24"/>
          <w:szCs w:val="24"/>
          <w:lang w:val="en-US" w:eastAsia="zh-CN" w:bidi="ar-SA"/>
        </w:rPr>
        <w:t>（8）运行内存：≥</w:t>
      </w:r>
      <w:r>
        <w:rPr>
          <w:rFonts w:hint="eastAsia" w:asciiTheme="majorEastAsia" w:hAnsiTheme="majorEastAsia" w:eastAsiaTheme="majorEastAsia" w:cstheme="majorEastAsia"/>
          <w:color w:val="auto"/>
          <w:kern w:val="2"/>
          <w:sz w:val="24"/>
          <w:szCs w:val="24"/>
          <w:lang w:val="zh-CN" w:eastAsia="zh-CN" w:bidi="ar-SA"/>
        </w:rPr>
        <w:t>1</w:t>
      </w:r>
      <w:r>
        <w:rPr>
          <w:rFonts w:hint="eastAsia" w:asciiTheme="majorEastAsia" w:hAnsiTheme="majorEastAsia" w:eastAsiaTheme="majorEastAsia" w:cstheme="majorEastAsia"/>
          <w:color w:val="auto"/>
          <w:kern w:val="2"/>
          <w:sz w:val="24"/>
          <w:szCs w:val="24"/>
          <w:lang w:val="en-US" w:eastAsia="zh-CN" w:bidi="ar-SA"/>
        </w:rPr>
        <w:t>2</w:t>
      </w:r>
      <w:r>
        <w:rPr>
          <w:rFonts w:hint="eastAsia" w:asciiTheme="majorEastAsia" w:hAnsiTheme="majorEastAsia" w:eastAsiaTheme="majorEastAsia" w:cstheme="majorEastAsia"/>
          <w:color w:val="auto"/>
          <w:kern w:val="2"/>
          <w:sz w:val="24"/>
          <w:szCs w:val="24"/>
          <w:lang w:val="zh-CN" w:eastAsia="zh-CN" w:bidi="ar-SA"/>
        </w:rPr>
        <w:t>GB；</w:t>
      </w:r>
    </w:p>
    <w:p w14:paraId="4E5A055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jc w:val="left"/>
        <w:textAlignment w:val="auto"/>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kern w:val="2"/>
          <w:sz w:val="24"/>
          <w:szCs w:val="24"/>
          <w:lang w:val="en-US" w:eastAsia="zh-CN" w:bidi="ar-SA"/>
        </w:rPr>
        <w:t>（9）分辨率：≥2880x1920；</w:t>
      </w:r>
    </w:p>
    <w:p w14:paraId="32775AC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jc w:val="left"/>
        <w:textAlignment w:val="auto"/>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kern w:val="2"/>
          <w:sz w:val="24"/>
          <w:szCs w:val="24"/>
          <w:lang w:val="en-US" w:eastAsia="zh-CN" w:bidi="ar-SA"/>
        </w:rPr>
        <w:t>（10）机身重量：</w:t>
      </w:r>
      <w:r>
        <w:rPr>
          <w:rFonts w:hint="eastAsia" w:asciiTheme="majorEastAsia" w:hAnsiTheme="majorEastAsia" w:eastAsiaTheme="majorEastAsia" w:cstheme="majorEastAsia"/>
          <w:color w:val="auto"/>
          <w:kern w:val="2"/>
          <w:sz w:val="24"/>
          <w:szCs w:val="24"/>
          <w:lang w:val="zh-CN" w:eastAsia="zh-CN" w:bidi="ar-SA"/>
        </w:rPr>
        <w:t>≤</w:t>
      </w:r>
      <w:r>
        <w:rPr>
          <w:rFonts w:hint="eastAsia" w:asciiTheme="majorEastAsia" w:hAnsiTheme="majorEastAsia" w:eastAsiaTheme="majorEastAsia" w:cstheme="majorEastAsia"/>
          <w:color w:val="auto"/>
          <w:kern w:val="2"/>
          <w:sz w:val="24"/>
          <w:szCs w:val="24"/>
          <w:lang w:val="en-US" w:eastAsia="zh-CN" w:bidi="ar-SA"/>
        </w:rPr>
        <w:t>580克；</w:t>
      </w:r>
    </w:p>
    <w:p w14:paraId="67989F7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jc w:val="left"/>
        <w:textAlignment w:val="auto"/>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kern w:val="2"/>
          <w:sz w:val="24"/>
          <w:szCs w:val="24"/>
          <w:lang w:val="en-US" w:eastAsia="zh-CN" w:bidi="ar-SA"/>
        </w:rPr>
        <w:t>（11）尺寸：≥13.2英寸；</w:t>
      </w:r>
    </w:p>
    <w:p w14:paraId="3BD3816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jc w:val="left"/>
        <w:textAlignment w:val="auto"/>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kern w:val="2"/>
          <w:sz w:val="24"/>
          <w:szCs w:val="24"/>
          <w:lang w:val="en-US" w:eastAsia="zh-CN" w:bidi="ar-SA"/>
        </w:rPr>
        <w:t>（12）触屏笔重量：</w:t>
      </w:r>
      <w:r>
        <w:rPr>
          <w:rFonts w:hint="eastAsia" w:asciiTheme="majorEastAsia" w:hAnsiTheme="majorEastAsia" w:eastAsiaTheme="majorEastAsia" w:cstheme="majorEastAsia"/>
          <w:color w:val="auto"/>
          <w:kern w:val="2"/>
          <w:sz w:val="24"/>
          <w:szCs w:val="24"/>
          <w:lang w:val="zh-CN" w:eastAsia="zh-CN" w:bidi="ar-SA"/>
        </w:rPr>
        <w:t>≤</w:t>
      </w:r>
      <w:r>
        <w:rPr>
          <w:rFonts w:hint="eastAsia" w:asciiTheme="majorEastAsia" w:hAnsiTheme="majorEastAsia" w:eastAsiaTheme="majorEastAsia" w:cstheme="majorEastAsia"/>
          <w:color w:val="auto"/>
          <w:kern w:val="2"/>
          <w:sz w:val="24"/>
          <w:szCs w:val="24"/>
          <w:lang w:val="en-US" w:eastAsia="zh-CN" w:bidi="ar-SA"/>
        </w:rPr>
        <w:t>26克；</w:t>
      </w:r>
    </w:p>
    <w:p w14:paraId="3B7C5EC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jc w:val="left"/>
        <w:textAlignment w:val="auto"/>
        <w:rPr>
          <w:rFonts w:hint="eastAsia" w:asciiTheme="majorEastAsia" w:hAnsiTheme="majorEastAsia" w:eastAsiaTheme="majorEastAsia" w:cstheme="majorEastAsia"/>
          <w:color w:val="auto"/>
          <w:kern w:val="2"/>
          <w:sz w:val="24"/>
          <w:szCs w:val="24"/>
          <w:highlight w:val="none"/>
          <w:lang w:val="en-US" w:eastAsia="zh-CN" w:bidi="ar-SA"/>
        </w:rPr>
      </w:pPr>
      <w:r>
        <w:rPr>
          <w:rFonts w:hint="eastAsia" w:asciiTheme="majorEastAsia" w:hAnsiTheme="majorEastAsia" w:eastAsiaTheme="majorEastAsia" w:cstheme="majorEastAsia"/>
          <w:color w:val="auto"/>
          <w:kern w:val="2"/>
          <w:sz w:val="24"/>
          <w:szCs w:val="24"/>
          <w:lang w:val="en-US" w:eastAsia="zh-CN" w:bidi="ar-SA"/>
        </w:rPr>
        <w:t>（13）触</w:t>
      </w:r>
      <w:r>
        <w:rPr>
          <w:rFonts w:hint="eastAsia" w:asciiTheme="majorEastAsia" w:hAnsiTheme="majorEastAsia" w:eastAsiaTheme="majorEastAsia" w:cstheme="majorEastAsia"/>
          <w:color w:val="auto"/>
          <w:kern w:val="2"/>
          <w:sz w:val="24"/>
          <w:szCs w:val="24"/>
          <w:highlight w:val="none"/>
          <w:lang w:val="en-US" w:eastAsia="zh-CN" w:bidi="ar-SA"/>
        </w:rPr>
        <w:t>屏笔长度：≥160mm；</w:t>
      </w:r>
    </w:p>
    <w:p w14:paraId="0E62360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jc w:val="left"/>
        <w:textAlignment w:val="auto"/>
        <w:rPr>
          <w:rFonts w:hint="eastAsia" w:asciiTheme="majorEastAsia" w:hAnsiTheme="majorEastAsia" w:eastAsiaTheme="majorEastAsia" w:cstheme="majorEastAsia"/>
          <w:color w:val="auto"/>
          <w:kern w:val="2"/>
          <w:sz w:val="24"/>
          <w:szCs w:val="24"/>
          <w:highlight w:val="none"/>
          <w:lang w:val="en-US" w:eastAsia="zh-CN" w:bidi="ar-SA"/>
        </w:rPr>
      </w:pPr>
      <w:r>
        <w:rPr>
          <w:rFonts w:hint="eastAsia" w:asciiTheme="majorEastAsia" w:hAnsiTheme="majorEastAsia" w:eastAsiaTheme="majorEastAsia" w:cstheme="majorEastAsia"/>
          <w:color w:val="auto"/>
          <w:kern w:val="2"/>
          <w:sz w:val="24"/>
          <w:szCs w:val="24"/>
          <w:highlight w:val="none"/>
          <w:lang w:val="en-US" w:eastAsia="zh-CN" w:bidi="ar-SA"/>
        </w:rPr>
        <w:t>（14）键盘重量：</w:t>
      </w:r>
      <w:r>
        <w:rPr>
          <w:rFonts w:hint="eastAsia" w:asciiTheme="majorEastAsia" w:hAnsiTheme="majorEastAsia" w:eastAsiaTheme="majorEastAsia" w:cstheme="majorEastAsia"/>
          <w:color w:val="auto"/>
          <w:kern w:val="2"/>
          <w:sz w:val="24"/>
          <w:szCs w:val="24"/>
          <w:highlight w:val="none"/>
          <w:lang w:val="zh-CN" w:eastAsia="zh-CN" w:bidi="ar-SA"/>
        </w:rPr>
        <w:t>≤</w:t>
      </w:r>
      <w:r>
        <w:rPr>
          <w:rFonts w:hint="eastAsia" w:asciiTheme="majorEastAsia" w:hAnsiTheme="majorEastAsia" w:eastAsiaTheme="majorEastAsia" w:cstheme="majorEastAsia"/>
          <w:color w:val="auto"/>
          <w:kern w:val="2"/>
          <w:sz w:val="24"/>
          <w:szCs w:val="24"/>
          <w:highlight w:val="none"/>
          <w:lang w:val="en-US" w:eastAsia="zh-CN" w:bidi="ar-SA"/>
        </w:rPr>
        <w:t>480克；</w:t>
      </w:r>
    </w:p>
    <w:p w14:paraId="708BEAC0">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Theme="majorEastAsia" w:hAnsiTheme="majorEastAsia" w:eastAsiaTheme="majorEastAsia" w:cstheme="majorEastAsia"/>
          <w:color w:val="auto"/>
          <w:kern w:val="2"/>
          <w:sz w:val="24"/>
          <w:szCs w:val="24"/>
          <w:highlight w:val="none"/>
          <w:lang w:val="en-US" w:eastAsia="zh-CN" w:bidi="ar-SA"/>
        </w:rPr>
      </w:pPr>
      <w:r>
        <w:rPr>
          <w:rFonts w:hint="eastAsia" w:asciiTheme="majorEastAsia" w:hAnsiTheme="majorEastAsia" w:eastAsiaTheme="majorEastAsia" w:cstheme="majorEastAsia"/>
          <w:color w:val="auto"/>
          <w:kern w:val="2"/>
          <w:sz w:val="24"/>
          <w:szCs w:val="24"/>
          <w:highlight w:val="none"/>
          <w:lang w:val="en-US" w:eastAsia="zh-CN" w:bidi="ar-SA"/>
        </w:rPr>
        <w:t>（15）触屏笔尺寸：≥13.2英寸。</w:t>
      </w:r>
    </w:p>
    <w:p w14:paraId="40BFE30B">
      <w:pPr>
        <w:pStyle w:val="2"/>
        <w:pageBreakBefore w:val="0"/>
        <w:widowControl w:val="0"/>
        <w:numPr>
          <w:ilvl w:val="0"/>
          <w:numId w:val="0"/>
        </w:numPr>
        <w:kinsoku/>
        <w:wordWrap/>
        <w:overflowPunct/>
        <w:topLinePunct w:val="0"/>
        <w:autoSpaceDE/>
        <w:autoSpaceDN/>
        <w:bidi w:val="0"/>
        <w:adjustRightInd/>
        <w:snapToGrid/>
        <w:spacing w:before="0" w:after="0" w:line="440" w:lineRule="exact"/>
        <w:ind w:leftChars="0" w:firstLine="482" w:firstLineChars="200"/>
        <w:textAlignment w:val="auto"/>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b/>
          <w:color w:val="auto"/>
          <w:kern w:val="44"/>
          <w:sz w:val="24"/>
          <w:szCs w:val="24"/>
          <w:highlight w:val="none"/>
          <w:lang w:val="en-US" w:eastAsia="zh-CN" w:bidi="ar-SA"/>
        </w:rPr>
        <w:t>2.</w:t>
      </w:r>
      <w:r>
        <w:rPr>
          <w:rFonts w:hint="eastAsia" w:asciiTheme="majorEastAsia" w:hAnsiTheme="majorEastAsia" w:eastAsiaTheme="majorEastAsia" w:cstheme="majorEastAsia"/>
          <w:color w:val="auto"/>
          <w:sz w:val="24"/>
          <w:szCs w:val="24"/>
          <w:highlight w:val="none"/>
          <w:lang w:val="en-US" w:eastAsia="zh-CN"/>
        </w:rPr>
        <w:t>执法记录仪（加配一块电板）</w:t>
      </w:r>
    </w:p>
    <w:p w14:paraId="51F8374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jc w:val="left"/>
        <w:textAlignment w:val="auto"/>
        <w:rPr>
          <w:rFonts w:hint="eastAsia" w:asciiTheme="majorEastAsia" w:hAnsiTheme="majorEastAsia" w:eastAsiaTheme="majorEastAsia" w:cstheme="majorEastAsia"/>
          <w:color w:val="auto"/>
          <w:kern w:val="2"/>
          <w:sz w:val="24"/>
          <w:szCs w:val="24"/>
          <w:highlight w:val="none"/>
          <w:lang w:val="en-US" w:eastAsia="zh-CN" w:bidi="ar-SA"/>
        </w:rPr>
      </w:pPr>
      <w:r>
        <w:rPr>
          <w:rFonts w:hint="eastAsia" w:asciiTheme="majorEastAsia" w:hAnsiTheme="majorEastAsia" w:eastAsiaTheme="majorEastAsia" w:cstheme="majorEastAsia"/>
          <w:color w:val="auto"/>
          <w:kern w:val="2"/>
          <w:sz w:val="24"/>
          <w:szCs w:val="24"/>
          <w:highlight w:val="none"/>
          <w:lang w:val="en-US" w:eastAsia="zh-CN" w:bidi="ar-SA"/>
        </w:rPr>
        <w:t>（1）尺寸及重量：设备尺寸（背夹、外接设备除外）应≤95mm*60mm*30mm，质量应≤220g;</w:t>
      </w:r>
    </w:p>
    <w:p w14:paraId="560755D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jc w:val="left"/>
        <w:textAlignment w:val="auto"/>
        <w:rPr>
          <w:rFonts w:hint="eastAsia" w:asciiTheme="majorEastAsia" w:hAnsiTheme="majorEastAsia" w:eastAsiaTheme="majorEastAsia" w:cstheme="majorEastAsia"/>
          <w:color w:val="auto"/>
          <w:kern w:val="2"/>
          <w:sz w:val="24"/>
          <w:szCs w:val="24"/>
          <w:highlight w:val="none"/>
          <w:lang w:val="en-US" w:eastAsia="zh-CN" w:bidi="ar-SA"/>
        </w:rPr>
      </w:pPr>
      <w:r>
        <w:rPr>
          <w:rFonts w:hint="eastAsia" w:asciiTheme="majorEastAsia" w:hAnsiTheme="majorEastAsia" w:eastAsiaTheme="majorEastAsia" w:cstheme="majorEastAsia"/>
          <w:color w:val="auto"/>
          <w:kern w:val="2"/>
          <w:sz w:val="24"/>
          <w:szCs w:val="24"/>
          <w:highlight w:val="none"/>
          <w:lang w:val="en-US" w:eastAsia="zh-CN" w:bidi="ar-SA"/>
        </w:rPr>
        <w:t>（2）▲外壳防护等级：设备外壳防护等级应符合GB/T 4208-2017中IP68要求(水深1m，持续8h），且支持在GB/T 4208-2017中IP66环境下更换电池，更换电池后执法记录仪应能正常工作；（以提供带有CNAS标识的公安部下属机构检测报告复印件，需标明该项内容在检验报告中对应的检验结果页码及序号）</w:t>
      </w:r>
    </w:p>
    <w:p w14:paraId="1716FC5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jc w:val="left"/>
        <w:textAlignment w:val="auto"/>
        <w:rPr>
          <w:rFonts w:hint="eastAsia" w:asciiTheme="majorEastAsia" w:hAnsiTheme="majorEastAsia" w:eastAsiaTheme="majorEastAsia" w:cstheme="majorEastAsia"/>
          <w:color w:val="auto"/>
          <w:kern w:val="2"/>
          <w:sz w:val="24"/>
          <w:szCs w:val="24"/>
          <w:highlight w:val="none"/>
          <w:lang w:val="en-US" w:eastAsia="zh-CN" w:bidi="ar-SA"/>
        </w:rPr>
      </w:pPr>
      <w:r>
        <w:rPr>
          <w:rFonts w:hint="eastAsia" w:asciiTheme="majorEastAsia" w:hAnsiTheme="majorEastAsia" w:eastAsiaTheme="majorEastAsia" w:cstheme="majorEastAsia"/>
          <w:color w:val="auto"/>
          <w:kern w:val="2"/>
          <w:sz w:val="24"/>
          <w:szCs w:val="24"/>
          <w:highlight w:val="none"/>
          <w:lang w:val="en-US" w:eastAsia="zh-CN" w:bidi="ar-SA"/>
        </w:rPr>
        <w:t>（3）配置：设备内存应≥128G，CPU应为8核以上且主频率不低于2.0GHz,操作系统至少为安卓10.0以上，支持安装和卸载基于安卓系统的APP软件；（以实际供货响应及厂家提供承诺函加盖公章为准）</w:t>
      </w:r>
    </w:p>
    <w:p w14:paraId="20A60A8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jc w:val="left"/>
        <w:textAlignment w:val="auto"/>
        <w:rPr>
          <w:rFonts w:hint="eastAsia" w:asciiTheme="majorEastAsia" w:hAnsiTheme="majorEastAsia" w:eastAsiaTheme="majorEastAsia" w:cstheme="majorEastAsia"/>
          <w:color w:val="auto"/>
          <w:kern w:val="2"/>
          <w:sz w:val="24"/>
          <w:szCs w:val="24"/>
          <w:highlight w:val="none"/>
          <w:lang w:val="en-US" w:eastAsia="zh-CN" w:bidi="ar-SA"/>
        </w:rPr>
      </w:pPr>
      <w:r>
        <w:rPr>
          <w:rFonts w:hint="eastAsia" w:asciiTheme="majorEastAsia" w:hAnsiTheme="majorEastAsia" w:eastAsiaTheme="majorEastAsia" w:cstheme="majorEastAsia"/>
          <w:color w:val="auto"/>
          <w:kern w:val="2"/>
          <w:sz w:val="24"/>
          <w:szCs w:val="24"/>
          <w:highlight w:val="none"/>
          <w:lang w:val="en-US" w:eastAsia="zh-CN" w:bidi="ar-SA"/>
        </w:rPr>
        <w:t>（4）▲摄像头：设备内置主摄像头、前置副摄像头、后置摄像头3个摄像头，支持主摄像头和后置摄像头同时摄录并保存，后置摄像头可实现点对点视频通话功能，视频通话时以画中画的形式呈现，副像头可自动对焦，可外接摄像头，外接摄像头支持分辨率应≥1920×1080音视频摄录；（以提供带有CNAS标识的公安部下属机构检测报告复印件，需标明该项内容在检验报告中对应的检验结果页码及序号）</w:t>
      </w:r>
    </w:p>
    <w:p w14:paraId="144F5ED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jc w:val="left"/>
        <w:textAlignment w:val="auto"/>
        <w:rPr>
          <w:rFonts w:hint="eastAsia" w:asciiTheme="majorEastAsia" w:hAnsiTheme="majorEastAsia" w:eastAsiaTheme="majorEastAsia" w:cstheme="majorEastAsia"/>
          <w:color w:val="auto"/>
          <w:kern w:val="2"/>
          <w:sz w:val="24"/>
          <w:szCs w:val="24"/>
          <w:highlight w:val="none"/>
          <w:lang w:val="en-US" w:eastAsia="zh-CN" w:bidi="ar-SA"/>
        </w:rPr>
      </w:pPr>
      <w:r>
        <w:rPr>
          <w:rFonts w:hint="eastAsia" w:asciiTheme="majorEastAsia" w:hAnsiTheme="majorEastAsia" w:eastAsiaTheme="majorEastAsia" w:cstheme="majorEastAsia"/>
          <w:color w:val="auto"/>
          <w:kern w:val="2"/>
          <w:sz w:val="24"/>
          <w:szCs w:val="24"/>
          <w:highlight w:val="none"/>
          <w:lang w:val="en-US" w:eastAsia="zh-CN" w:bidi="ar-SA"/>
        </w:rPr>
        <w:t>（5）水平视场角及几何失真：设备在其厂家声明的所有分辨率条件下，镜头水平视场角应≥115º；几何失真应≤20%；</w:t>
      </w:r>
    </w:p>
    <w:p w14:paraId="79AE021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jc w:val="left"/>
        <w:textAlignment w:val="auto"/>
        <w:rPr>
          <w:rFonts w:hint="eastAsia" w:asciiTheme="majorEastAsia" w:hAnsiTheme="majorEastAsia" w:eastAsiaTheme="majorEastAsia" w:cstheme="majorEastAsia"/>
          <w:color w:val="auto"/>
          <w:kern w:val="2"/>
          <w:sz w:val="24"/>
          <w:szCs w:val="24"/>
          <w:highlight w:val="none"/>
          <w:lang w:val="en-US" w:eastAsia="zh-CN" w:bidi="ar-SA"/>
        </w:rPr>
      </w:pPr>
      <w:r>
        <w:rPr>
          <w:rFonts w:hint="eastAsia" w:asciiTheme="majorEastAsia" w:hAnsiTheme="majorEastAsia" w:eastAsiaTheme="majorEastAsia" w:cstheme="majorEastAsia"/>
          <w:color w:val="auto"/>
          <w:kern w:val="2"/>
          <w:sz w:val="24"/>
          <w:szCs w:val="24"/>
          <w:highlight w:val="none"/>
          <w:lang w:val="en-US" w:eastAsia="zh-CN" w:bidi="ar-SA"/>
        </w:rPr>
        <w:t>（6）▲显示屏及亮度：设备应具有彩色显示屏，显示屏对角线尺寸应≥3.0in，显示全场白测试信号时的最大亮度应≥350cd/m2；（以提供带有CNAS标识的公安部下属机构检测报告复印件，需标明该项内容在检验报告中对应的检验结果页码及序号）</w:t>
      </w:r>
    </w:p>
    <w:p w14:paraId="7AC9FA7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jc w:val="left"/>
        <w:textAlignment w:val="auto"/>
        <w:rPr>
          <w:rFonts w:hint="eastAsia" w:asciiTheme="majorEastAsia" w:hAnsiTheme="majorEastAsia" w:eastAsiaTheme="majorEastAsia" w:cstheme="majorEastAsia"/>
          <w:color w:val="auto"/>
          <w:kern w:val="2"/>
          <w:sz w:val="24"/>
          <w:szCs w:val="24"/>
          <w:highlight w:val="none"/>
          <w:lang w:val="en-US" w:eastAsia="zh-CN" w:bidi="ar-SA"/>
        </w:rPr>
      </w:pPr>
      <w:r>
        <w:rPr>
          <w:rFonts w:hint="eastAsia" w:asciiTheme="majorEastAsia" w:hAnsiTheme="majorEastAsia" w:eastAsiaTheme="majorEastAsia" w:cstheme="majorEastAsia"/>
          <w:color w:val="auto"/>
          <w:kern w:val="2"/>
          <w:sz w:val="24"/>
          <w:szCs w:val="24"/>
          <w:highlight w:val="none"/>
          <w:lang w:val="en-US" w:eastAsia="zh-CN" w:bidi="ar-SA"/>
        </w:rPr>
        <w:t>（7）视频性能：设备视频分辨率为2560×1440时且帧率在30帧/S，视频分辨力应≥900线；视频分辨率为1920×1080时且帧率在30帧/S，视频分辨力应≥800线；</w:t>
      </w:r>
    </w:p>
    <w:p w14:paraId="6B6F739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jc w:val="left"/>
        <w:textAlignment w:val="auto"/>
        <w:rPr>
          <w:rFonts w:hint="eastAsia" w:asciiTheme="majorEastAsia" w:hAnsiTheme="majorEastAsia" w:eastAsiaTheme="majorEastAsia" w:cstheme="majorEastAsia"/>
          <w:color w:val="auto"/>
          <w:kern w:val="2"/>
          <w:sz w:val="24"/>
          <w:szCs w:val="24"/>
          <w:highlight w:val="none"/>
          <w:lang w:val="en-US" w:eastAsia="zh-CN" w:bidi="ar-SA"/>
        </w:rPr>
      </w:pPr>
      <w:r>
        <w:rPr>
          <w:rFonts w:hint="eastAsia" w:asciiTheme="majorEastAsia" w:hAnsiTheme="majorEastAsia" w:eastAsiaTheme="majorEastAsia" w:cstheme="majorEastAsia"/>
          <w:color w:val="auto"/>
          <w:kern w:val="2"/>
          <w:sz w:val="24"/>
          <w:szCs w:val="24"/>
          <w:highlight w:val="none"/>
          <w:lang w:val="en-US" w:eastAsia="zh-CN" w:bidi="ar-SA"/>
        </w:rPr>
        <w:t>（8）扫码注册：样机可通过扫描平台端生成的二维码完成注册、可扫描服务器配置参数二维码完成服务器参数绑定；</w:t>
      </w:r>
    </w:p>
    <w:p w14:paraId="23D15CD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jc w:val="left"/>
        <w:textAlignment w:val="auto"/>
        <w:rPr>
          <w:rFonts w:hint="eastAsia" w:asciiTheme="majorEastAsia" w:hAnsiTheme="majorEastAsia" w:eastAsiaTheme="majorEastAsia" w:cstheme="majorEastAsia"/>
          <w:color w:val="auto"/>
          <w:kern w:val="2"/>
          <w:sz w:val="24"/>
          <w:szCs w:val="24"/>
          <w:highlight w:val="none"/>
          <w:lang w:val="en-US" w:eastAsia="zh-CN" w:bidi="ar-SA"/>
        </w:rPr>
      </w:pPr>
      <w:r>
        <w:rPr>
          <w:rFonts w:hint="eastAsia" w:asciiTheme="majorEastAsia" w:hAnsiTheme="majorEastAsia" w:eastAsiaTheme="majorEastAsia" w:cstheme="majorEastAsia"/>
          <w:color w:val="auto"/>
          <w:kern w:val="2"/>
          <w:sz w:val="24"/>
          <w:szCs w:val="24"/>
          <w:highlight w:val="none"/>
          <w:lang w:val="en-US" w:eastAsia="zh-CN" w:bidi="ar-SA"/>
        </w:rPr>
        <w:t>（9）▲无线传输及网络自适性： 设备具有通过无线通信方式以文件或流的形式传输数据(内置模块),设备远程传输可将现场的图像通过4G/WIFI无线网络进行传输，实时同步传输至系统平台。可接入移动、联通、电信4G SIM卡 或WIFI无线网络实现无线传输功能；且通过无线网络向平台上传实时预览画面时，可根据带宽自适应调整码流； 并具有流量统计功能；（以提供带有CNAS标识的公安部下属机构检测报告复印件，需标明该项内容在检验报告中对应的检验结果页码及序号）</w:t>
      </w:r>
    </w:p>
    <w:p w14:paraId="4C3E5C6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jc w:val="left"/>
        <w:textAlignment w:val="auto"/>
        <w:rPr>
          <w:rFonts w:hint="eastAsia" w:asciiTheme="majorEastAsia" w:hAnsiTheme="majorEastAsia" w:eastAsiaTheme="majorEastAsia" w:cstheme="majorEastAsia"/>
          <w:color w:val="auto"/>
          <w:kern w:val="2"/>
          <w:sz w:val="24"/>
          <w:szCs w:val="24"/>
          <w:highlight w:val="none"/>
          <w:lang w:val="en-US" w:eastAsia="zh-CN" w:bidi="ar-SA"/>
        </w:rPr>
      </w:pPr>
      <w:r>
        <w:rPr>
          <w:rFonts w:hint="eastAsia" w:asciiTheme="majorEastAsia" w:hAnsiTheme="majorEastAsia" w:eastAsiaTheme="majorEastAsia" w:cstheme="majorEastAsia"/>
          <w:color w:val="auto"/>
          <w:kern w:val="2"/>
          <w:sz w:val="24"/>
          <w:szCs w:val="24"/>
          <w:highlight w:val="none"/>
          <w:lang w:val="en-US" w:eastAsia="zh-CN" w:bidi="ar-SA"/>
        </w:rPr>
        <w:t>（10）照片分辨力：设备像素应支持8448×4785、7552×4248、5344×3006、3840×2160，并且在此像素条件下拍摄的照片分辨力都应≥1100线；</w:t>
      </w:r>
    </w:p>
    <w:p w14:paraId="04E7191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jc w:val="left"/>
        <w:textAlignment w:val="auto"/>
        <w:rPr>
          <w:rFonts w:hint="eastAsia" w:asciiTheme="majorEastAsia" w:hAnsiTheme="majorEastAsia" w:eastAsiaTheme="majorEastAsia" w:cstheme="majorEastAsia"/>
          <w:color w:val="auto"/>
          <w:kern w:val="2"/>
          <w:sz w:val="24"/>
          <w:szCs w:val="24"/>
          <w:highlight w:val="none"/>
          <w:lang w:val="en-US" w:eastAsia="zh-CN" w:bidi="ar-SA"/>
        </w:rPr>
      </w:pPr>
      <w:r>
        <w:rPr>
          <w:rFonts w:hint="eastAsia" w:asciiTheme="majorEastAsia" w:hAnsiTheme="majorEastAsia" w:eastAsiaTheme="majorEastAsia" w:cstheme="majorEastAsia"/>
          <w:color w:val="auto"/>
          <w:kern w:val="2"/>
          <w:sz w:val="24"/>
          <w:szCs w:val="24"/>
          <w:highlight w:val="none"/>
          <w:lang w:val="en-US" w:eastAsia="zh-CN" w:bidi="ar-SA"/>
        </w:rPr>
        <w:t>（11）电池充电时间：设备的电池充电时间≤4h；</w:t>
      </w:r>
    </w:p>
    <w:p w14:paraId="477BA23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jc w:val="left"/>
        <w:textAlignment w:val="auto"/>
        <w:rPr>
          <w:rFonts w:hint="eastAsia" w:asciiTheme="majorEastAsia" w:hAnsiTheme="majorEastAsia" w:eastAsiaTheme="majorEastAsia" w:cstheme="majorEastAsia"/>
          <w:color w:val="auto"/>
          <w:kern w:val="2"/>
          <w:sz w:val="24"/>
          <w:szCs w:val="24"/>
          <w:highlight w:val="none"/>
          <w:lang w:val="en-US" w:eastAsia="zh-CN" w:bidi="ar-SA"/>
        </w:rPr>
      </w:pPr>
      <w:r>
        <w:rPr>
          <w:rFonts w:hint="eastAsia" w:asciiTheme="majorEastAsia" w:hAnsiTheme="majorEastAsia" w:eastAsiaTheme="majorEastAsia" w:cstheme="majorEastAsia"/>
          <w:color w:val="auto"/>
          <w:kern w:val="2"/>
          <w:sz w:val="24"/>
          <w:szCs w:val="24"/>
          <w:highlight w:val="none"/>
          <w:lang w:val="en-US" w:eastAsia="zh-CN" w:bidi="ar-SA"/>
        </w:rPr>
        <w:t>（12）物理接口： 设备支持Type-C接口传输数据和充电，移动磁盘读取速率≥250Mbps；</w:t>
      </w:r>
    </w:p>
    <w:p w14:paraId="72FD9A2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jc w:val="left"/>
        <w:textAlignment w:val="auto"/>
        <w:rPr>
          <w:rFonts w:hint="eastAsia" w:asciiTheme="majorEastAsia" w:hAnsiTheme="majorEastAsia" w:eastAsiaTheme="majorEastAsia" w:cstheme="majorEastAsia"/>
          <w:color w:val="auto"/>
          <w:kern w:val="2"/>
          <w:sz w:val="24"/>
          <w:szCs w:val="24"/>
          <w:highlight w:val="none"/>
          <w:lang w:val="en-US" w:eastAsia="zh-CN" w:bidi="ar-SA"/>
        </w:rPr>
      </w:pPr>
      <w:r>
        <w:rPr>
          <w:rFonts w:hint="eastAsia" w:asciiTheme="majorEastAsia" w:hAnsiTheme="majorEastAsia" w:eastAsiaTheme="majorEastAsia" w:cstheme="majorEastAsia"/>
          <w:color w:val="auto"/>
          <w:kern w:val="2"/>
          <w:sz w:val="24"/>
          <w:szCs w:val="24"/>
          <w:highlight w:val="none"/>
          <w:lang w:val="en-US" w:eastAsia="zh-CN" w:bidi="ar-SA"/>
        </w:rPr>
        <w:t>（13）自由跌落：裸机跌落可在高度2000mm水泥地面，其中任意6个面各跌落5次，共30次，试验期间执法记录仪应处于工作状态。试验后执法记录仪内部线路、电路板和接口等接插件不应有脱落、松动和接触不良现象。且应能正常工作，存储的数据不应丢失；</w:t>
      </w:r>
    </w:p>
    <w:p w14:paraId="5A917EB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jc w:val="left"/>
        <w:textAlignment w:val="auto"/>
        <w:rPr>
          <w:rFonts w:hint="eastAsia" w:asciiTheme="majorEastAsia" w:hAnsiTheme="majorEastAsia" w:eastAsiaTheme="majorEastAsia" w:cstheme="majorEastAsia"/>
          <w:color w:val="auto"/>
          <w:kern w:val="2"/>
          <w:sz w:val="24"/>
          <w:szCs w:val="24"/>
          <w:highlight w:val="none"/>
          <w:lang w:val="en-US" w:eastAsia="zh-CN" w:bidi="ar-SA"/>
        </w:rPr>
      </w:pPr>
      <w:r>
        <w:rPr>
          <w:rFonts w:hint="eastAsia" w:asciiTheme="majorEastAsia" w:hAnsiTheme="majorEastAsia" w:eastAsiaTheme="majorEastAsia" w:cstheme="majorEastAsia"/>
          <w:color w:val="auto"/>
          <w:kern w:val="2"/>
          <w:sz w:val="24"/>
          <w:szCs w:val="24"/>
          <w:highlight w:val="none"/>
          <w:lang w:val="en-US" w:eastAsia="zh-CN" w:bidi="ar-SA"/>
        </w:rPr>
        <w:t>（14）▲电池工作时间：在1920×1080分辨率条件下电池工作时间应满足单块电池连续摄录时间≥11h，更换一次电池连续摄录时间≥22h;音视频实时图传，电池工作时间应满足单块电池连续摄录时间&gt;10h,更换一次电池连续摄录≥20h; （以提供带有CNAS标识的公安部下属机构检测报告复印件，需标明该项内容在检验报告中对应的检验结果页码及序号）</w:t>
      </w:r>
    </w:p>
    <w:p w14:paraId="17F3B85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jc w:val="left"/>
        <w:textAlignment w:val="auto"/>
        <w:rPr>
          <w:rFonts w:hint="eastAsia" w:asciiTheme="majorEastAsia" w:hAnsiTheme="majorEastAsia" w:eastAsiaTheme="majorEastAsia" w:cstheme="majorEastAsia"/>
          <w:color w:val="auto"/>
          <w:kern w:val="2"/>
          <w:sz w:val="24"/>
          <w:szCs w:val="24"/>
          <w:highlight w:val="none"/>
          <w:lang w:val="en-US" w:eastAsia="zh-CN" w:bidi="ar-SA"/>
        </w:rPr>
      </w:pPr>
      <w:r>
        <w:rPr>
          <w:rFonts w:hint="eastAsia" w:asciiTheme="majorEastAsia" w:hAnsiTheme="majorEastAsia" w:eastAsiaTheme="majorEastAsia" w:cstheme="majorEastAsia"/>
          <w:color w:val="auto"/>
          <w:kern w:val="2"/>
          <w:sz w:val="24"/>
          <w:szCs w:val="24"/>
          <w:highlight w:val="none"/>
          <w:lang w:val="en-US" w:eastAsia="zh-CN" w:bidi="ar-SA"/>
        </w:rPr>
        <w:t>（15）夜视及补光功能：设备应具有夜视功能，在开启夜视功能后，有效拍摄距离不低于5m,有效拍摄距离处可看清人物面部特征；有效拍摄距离不低于10m,有效拍摄距离处可看清人体轮阔；且具有白光补光灯，补光灯支持常亮方式进行补光，可实现夜间照明和夜间彩色 视频录像和拍照；</w:t>
      </w:r>
    </w:p>
    <w:p w14:paraId="7B27C79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jc w:val="left"/>
        <w:textAlignment w:val="auto"/>
        <w:rPr>
          <w:rFonts w:hint="eastAsia" w:asciiTheme="majorEastAsia" w:hAnsiTheme="majorEastAsia" w:eastAsiaTheme="majorEastAsia" w:cstheme="majorEastAsia"/>
          <w:color w:val="auto"/>
          <w:kern w:val="2"/>
          <w:sz w:val="24"/>
          <w:szCs w:val="24"/>
          <w:highlight w:val="none"/>
          <w:lang w:val="en-US" w:eastAsia="zh-CN" w:bidi="ar-SA"/>
        </w:rPr>
      </w:pPr>
      <w:r>
        <w:rPr>
          <w:rFonts w:hint="eastAsia" w:asciiTheme="majorEastAsia" w:hAnsiTheme="majorEastAsia" w:eastAsiaTheme="majorEastAsia" w:cstheme="majorEastAsia"/>
          <w:color w:val="auto"/>
          <w:kern w:val="2"/>
          <w:sz w:val="24"/>
          <w:szCs w:val="24"/>
          <w:highlight w:val="none"/>
          <w:lang w:val="en-US" w:eastAsia="zh-CN" w:bidi="ar-SA"/>
        </w:rPr>
        <w:t>（16）防抖功能：设备在开启防抖功能后，使用抖动台和“+”字图形进行试验，距离样机1m处，色温5000K,  X、Y、Z轴在1Hz振动频率，振动幅度1°条件下，同一位置点在视音频信息中的最大振动像素差应&lt;5像素；（以提供带有CNAS标识的公安部下属机构检测报告复印件，需标明该项内容在检验报告中对应的检验结果页码及序号）</w:t>
      </w:r>
    </w:p>
    <w:p w14:paraId="5B69851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jc w:val="left"/>
        <w:textAlignment w:val="auto"/>
        <w:rPr>
          <w:rFonts w:hint="eastAsia" w:asciiTheme="majorEastAsia" w:hAnsiTheme="majorEastAsia" w:eastAsiaTheme="majorEastAsia" w:cstheme="majorEastAsia"/>
          <w:color w:val="auto"/>
          <w:kern w:val="2"/>
          <w:sz w:val="24"/>
          <w:szCs w:val="24"/>
          <w:highlight w:val="none"/>
          <w:lang w:val="en-US" w:eastAsia="zh-CN" w:bidi="ar-SA"/>
        </w:rPr>
      </w:pPr>
      <w:r>
        <w:rPr>
          <w:rFonts w:hint="eastAsia" w:asciiTheme="majorEastAsia" w:hAnsiTheme="majorEastAsia" w:eastAsiaTheme="majorEastAsia" w:cstheme="majorEastAsia"/>
          <w:color w:val="auto"/>
          <w:kern w:val="2"/>
          <w:sz w:val="24"/>
          <w:szCs w:val="24"/>
          <w:highlight w:val="none"/>
          <w:lang w:val="en-US" w:eastAsia="zh-CN" w:bidi="ar-SA"/>
        </w:rPr>
        <w:t>（17）▲字符叠加：设备应能在录制的视频和所拍照片中自动叠加信息，信息包括：北斗定位坐标信息、时间信息、用户姓名、用户编号、单位名称、单位编号、视频编码信息等；（以提供带有CNAS标识的公安部下属机构检测报告复印件，需标明该项内容在检验报告中对应的检验结果页码及序号）</w:t>
      </w:r>
    </w:p>
    <w:p w14:paraId="6F2F0C1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jc w:val="left"/>
        <w:textAlignment w:val="auto"/>
        <w:rPr>
          <w:rFonts w:hint="eastAsia" w:asciiTheme="majorEastAsia" w:hAnsiTheme="majorEastAsia" w:eastAsiaTheme="majorEastAsia" w:cstheme="majorEastAsia"/>
          <w:color w:val="auto"/>
          <w:kern w:val="2"/>
          <w:sz w:val="24"/>
          <w:szCs w:val="24"/>
          <w:highlight w:val="none"/>
          <w:lang w:val="en-US" w:eastAsia="zh-CN" w:bidi="ar-SA"/>
        </w:rPr>
      </w:pPr>
      <w:r>
        <w:rPr>
          <w:rFonts w:hint="eastAsia" w:asciiTheme="majorEastAsia" w:hAnsiTheme="majorEastAsia" w:eastAsiaTheme="majorEastAsia" w:cstheme="majorEastAsia"/>
          <w:color w:val="auto"/>
          <w:kern w:val="2"/>
          <w:sz w:val="24"/>
          <w:szCs w:val="24"/>
          <w:highlight w:val="none"/>
          <w:lang w:val="en-US" w:eastAsia="zh-CN" w:bidi="ar-SA"/>
        </w:rPr>
        <w:t>（18）▲卫星定位以及精准度：支持单北斗模式定位功能，定位数据更新频率应≥1Hz，并且水平精准度应≤1.0m;（以提供带有CNAS标识的公安部下属机构检测报告复印件，需标明该项内容在检验报告中对应的检验结果页码及序号）</w:t>
      </w:r>
    </w:p>
    <w:p w14:paraId="15287F7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jc w:val="left"/>
        <w:textAlignment w:val="auto"/>
        <w:rPr>
          <w:rFonts w:hint="eastAsia" w:asciiTheme="majorEastAsia" w:hAnsiTheme="majorEastAsia" w:eastAsiaTheme="majorEastAsia" w:cstheme="majorEastAsia"/>
          <w:color w:val="auto"/>
          <w:kern w:val="2"/>
          <w:sz w:val="24"/>
          <w:szCs w:val="24"/>
          <w:highlight w:val="none"/>
          <w:lang w:val="en-US" w:eastAsia="zh-CN" w:bidi="ar-SA"/>
        </w:rPr>
      </w:pPr>
      <w:r>
        <w:rPr>
          <w:rFonts w:hint="eastAsia" w:asciiTheme="majorEastAsia" w:hAnsiTheme="majorEastAsia" w:eastAsiaTheme="majorEastAsia" w:cstheme="majorEastAsia"/>
          <w:color w:val="auto"/>
          <w:kern w:val="2"/>
          <w:sz w:val="24"/>
          <w:szCs w:val="24"/>
          <w:highlight w:val="none"/>
          <w:lang w:val="en-US" w:eastAsia="zh-CN" w:bidi="ar-SA"/>
        </w:rPr>
        <w:t>（19）高温试验：温度(55±2)℃,持续时间≥16h,试验期间样机处于工作状态，试验过程中不应发生状态改变，试验后样机应能正常工作；</w:t>
      </w:r>
    </w:p>
    <w:p w14:paraId="0AEE59B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jc w:val="left"/>
        <w:textAlignment w:val="auto"/>
        <w:rPr>
          <w:rFonts w:hint="eastAsia" w:asciiTheme="majorEastAsia" w:hAnsiTheme="majorEastAsia" w:eastAsiaTheme="majorEastAsia" w:cstheme="majorEastAsia"/>
          <w:color w:val="auto"/>
          <w:kern w:val="2"/>
          <w:sz w:val="24"/>
          <w:szCs w:val="24"/>
          <w:highlight w:val="none"/>
          <w:lang w:val="en-US" w:eastAsia="zh-CN" w:bidi="ar-SA"/>
        </w:rPr>
      </w:pPr>
      <w:r>
        <w:rPr>
          <w:rFonts w:hint="eastAsia" w:asciiTheme="majorEastAsia" w:hAnsiTheme="majorEastAsia" w:eastAsiaTheme="majorEastAsia" w:cstheme="majorEastAsia"/>
          <w:color w:val="auto"/>
          <w:kern w:val="2"/>
          <w:sz w:val="24"/>
          <w:szCs w:val="24"/>
          <w:highlight w:val="none"/>
          <w:lang w:val="en-US" w:eastAsia="zh-CN" w:bidi="ar-SA"/>
        </w:rPr>
        <w:t>（20）低温试验：温度（-30±3）℃，持续时间≥18h，试验期间设备处于工作状态，实验过程中不应发生状态改变，试验后设备应能正常工作；</w:t>
      </w:r>
    </w:p>
    <w:p w14:paraId="62EDE00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jc w:val="left"/>
        <w:textAlignment w:val="auto"/>
        <w:rPr>
          <w:rFonts w:hint="eastAsia" w:asciiTheme="majorEastAsia" w:hAnsiTheme="majorEastAsia" w:eastAsiaTheme="majorEastAsia" w:cstheme="majorEastAsia"/>
          <w:color w:val="auto"/>
          <w:kern w:val="2"/>
          <w:sz w:val="24"/>
          <w:szCs w:val="24"/>
          <w:highlight w:val="none"/>
          <w:lang w:val="en-US" w:eastAsia="zh-CN" w:bidi="ar-SA"/>
        </w:rPr>
      </w:pPr>
      <w:r>
        <w:rPr>
          <w:rFonts w:hint="eastAsia" w:asciiTheme="majorEastAsia" w:hAnsiTheme="majorEastAsia" w:eastAsiaTheme="majorEastAsia" w:cstheme="majorEastAsia"/>
          <w:color w:val="auto"/>
          <w:kern w:val="2"/>
          <w:sz w:val="24"/>
          <w:szCs w:val="24"/>
          <w:highlight w:val="none"/>
          <w:lang w:val="en-US" w:eastAsia="zh-CN" w:bidi="ar-SA"/>
        </w:rPr>
        <w:t>（21）录像加密：设备支持录像视频加密，加密后文件可通过本机播放，不可通过通用播放器进行播放；</w:t>
      </w:r>
    </w:p>
    <w:p w14:paraId="73EEFE5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jc w:val="left"/>
        <w:textAlignment w:val="auto"/>
        <w:rPr>
          <w:rFonts w:hint="eastAsia" w:asciiTheme="majorEastAsia" w:hAnsiTheme="majorEastAsia" w:eastAsiaTheme="majorEastAsia" w:cstheme="majorEastAsia"/>
          <w:color w:val="auto"/>
          <w:kern w:val="2"/>
          <w:sz w:val="24"/>
          <w:szCs w:val="24"/>
          <w:highlight w:val="none"/>
          <w:lang w:val="en-US" w:eastAsia="zh-CN" w:bidi="ar-SA"/>
        </w:rPr>
      </w:pPr>
      <w:r>
        <w:rPr>
          <w:rFonts w:hint="eastAsia" w:asciiTheme="majorEastAsia" w:hAnsiTheme="majorEastAsia" w:eastAsiaTheme="majorEastAsia" w:cstheme="majorEastAsia"/>
          <w:color w:val="auto"/>
          <w:kern w:val="2"/>
          <w:sz w:val="24"/>
          <w:szCs w:val="24"/>
          <w:highlight w:val="none"/>
          <w:lang w:val="en-US" w:eastAsia="zh-CN" w:bidi="ar-SA"/>
        </w:rPr>
        <w:t>（22）▲语音操控及播报功能：设备具有语音操控功能，可通过语音指令控制样机进行关机、开始/停止摄像、开始/停止录音、拍照操作；且可进行语音播报，开启后可在开机、录像、录音、重点文件标记时进行语音播报，并具有摄录时长播报及整点报时功能。（以提供带有CNAS标识的公安部下属机构检测报告复印件，需标明该项内容在检验报告中对应的检验结果页码及序号）</w:t>
      </w:r>
    </w:p>
    <w:p w14:paraId="0615D93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jc w:val="left"/>
        <w:textAlignment w:val="auto"/>
        <w:rPr>
          <w:rFonts w:hint="eastAsia" w:asciiTheme="majorEastAsia" w:hAnsiTheme="majorEastAsia" w:eastAsiaTheme="majorEastAsia" w:cstheme="majorEastAsia"/>
          <w:color w:val="auto"/>
          <w:kern w:val="2"/>
          <w:sz w:val="24"/>
          <w:szCs w:val="24"/>
          <w:highlight w:val="none"/>
          <w:lang w:val="en-US" w:eastAsia="zh-CN" w:bidi="ar-SA"/>
        </w:rPr>
      </w:pPr>
      <w:r>
        <w:rPr>
          <w:rFonts w:hint="eastAsia" w:asciiTheme="majorEastAsia" w:hAnsiTheme="majorEastAsia" w:eastAsiaTheme="majorEastAsia" w:cstheme="majorEastAsia"/>
          <w:color w:val="auto"/>
          <w:kern w:val="2"/>
          <w:sz w:val="24"/>
          <w:szCs w:val="24"/>
          <w:highlight w:val="none"/>
          <w:lang w:val="en-US" w:eastAsia="zh-CN" w:bidi="ar-SA"/>
        </w:rPr>
        <w:t>（23）紧急摄录：设备在摄录过程中发生撞击时，可自动保存录像文件并且重新进入摄录模式，在待机状态下发生撞击时，可自动进入摄录模式；</w:t>
      </w:r>
    </w:p>
    <w:p w14:paraId="7527AB8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jc w:val="left"/>
        <w:textAlignment w:val="auto"/>
        <w:rPr>
          <w:rFonts w:hint="eastAsia" w:asciiTheme="majorEastAsia" w:hAnsiTheme="majorEastAsia" w:eastAsiaTheme="majorEastAsia" w:cstheme="majorEastAsia"/>
          <w:color w:val="auto"/>
          <w:kern w:val="2"/>
          <w:sz w:val="24"/>
          <w:szCs w:val="24"/>
          <w:highlight w:val="none"/>
          <w:lang w:val="en-US" w:eastAsia="zh-CN" w:bidi="ar-SA"/>
        </w:rPr>
      </w:pPr>
      <w:r>
        <w:rPr>
          <w:rFonts w:hint="eastAsia" w:asciiTheme="majorEastAsia" w:hAnsiTheme="majorEastAsia" w:eastAsiaTheme="majorEastAsia" w:cstheme="majorEastAsia"/>
          <w:color w:val="auto"/>
          <w:kern w:val="2"/>
          <w:sz w:val="24"/>
          <w:szCs w:val="24"/>
          <w:highlight w:val="none"/>
          <w:lang w:val="en-US" w:eastAsia="zh-CN" w:bidi="ar-SA"/>
        </w:rPr>
        <w:t>（24）▲文件上传功能：支持通过4G/5G网络、WIFI网络自动/手动上传文件，文件内容包括视频、音频和照片，可自定义选择上传文件类型可查看上传列表和上传进度，上传状态有相应的图标提示，终端掉线后，终端内文件不丢失，终端重新注册上线后可自动续传文件，文件上传后可在管理平台进行调阅；（以提供带有CNAS标识的公安部下属机构检测报告复印件，需标明该项内容在检验报告中对应的检验结果页码及序号）</w:t>
      </w:r>
    </w:p>
    <w:p w14:paraId="1175BFA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jc w:val="left"/>
        <w:textAlignment w:val="auto"/>
        <w:rPr>
          <w:rFonts w:hint="eastAsia" w:asciiTheme="majorEastAsia" w:hAnsiTheme="majorEastAsia" w:eastAsiaTheme="majorEastAsia" w:cstheme="majorEastAsia"/>
          <w:color w:val="auto"/>
          <w:kern w:val="2"/>
          <w:sz w:val="24"/>
          <w:szCs w:val="24"/>
          <w:highlight w:val="none"/>
          <w:lang w:val="en-US" w:eastAsia="zh-CN" w:bidi="ar-SA"/>
        </w:rPr>
      </w:pPr>
      <w:r>
        <w:rPr>
          <w:rFonts w:hint="eastAsia" w:asciiTheme="majorEastAsia" w:hAnsiTheme="majorEastAsia" w:eastAsiaTheme="majorEastAsia" w:cstheme="majorEastAsia"/>
          <w:color w:val="auto"/>
          <w:kern w:val="2"/>
          <w:sz w:val="24"/>
          <w:szCs w:val="24"/>
          <w:highlight w:val="none"/>
          <w:lang w:val="en-US" w:eastAsia="zh-CN" w:bidi="ar-SA"/>
        </w:rPr>
        <w:t>（25）视频会商功能：设备可向群组中的成员发起视频会商功能，群组中任意人员均可以看到发起方的实时视频；</w:t>
      </w:r>
    </w:p>
    <w:p w14:paraId="0E82E18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jc w:val="left"/>
        <w:textAlignment w:val="auto"/>
        <w:rPr>
          <w:rFonts w:hint="eastAsia" w:asciiTheme="majorEastAsia" w:hAnsiTheme="majorEastAsia" w:eastAsiaTheme="majorEastAsia" w:cstheme="majorEastAsia"/>
          <w:color w:val="auto"/>
          <w:kern w:val="2"/>
          <w:sz w:val="24"/>
          <w:szCs w:val="24"/>
          <w:highlight w:val="none"/>
          <w:lang w:val="en-US" w:eastAsia="zh-CN" w:bidi="ar-SA"/>
        </w:rPr>
      </w:pPr>
      <w:r>
        <w:rPr>
          <w:rFonts w:hint="eastAsia" w:asciiTheme="majorEastAsia" w:hAnsiTheme="majorEastAsia" w:eastAsiaTheme="majorEastAsia" w:cstheme="majorEastAsia"/>
          <w:color w:val="auto"/>
          <w:kern w:val="2"/>
          <w:sz w:val="24"/>
          <w:szCs w:val="24"/>
          <w:highlight w:val="none"/>
          <w:lang w:val="en-US" w:eastAsia="zh-CN" w:bidi="ar-SA"/>
        </w:rPr>
        <w:t>（26）▲TTS语音播报功能：支持接收平台下发的文字信息，并将文字信息进行语音播报，平台支持单选/多选/全选需要发送文字信息的记录仪，文字信息播报后可保存在记录仪本地并查看；（以提供带有CNAS标识的公安部下属机构检测报告复印件，需标明该项内容在检验报告中对应的检验结果页码及序号）</w:t>
      </w:r>
    </w:p>
    <w:p w14:paraId="43E3C4D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jc w:val="left"/>
        <w:textAlignment w:val="auto"/>
        <w:rPr>
          <w:rFonts w:hint="eastAsia" w:asciiTheme="majorEastAsia" w:hAnsiTheme="majorEastAsia" w:eastAsiaTheme="majorEastAsia" w:cstheme="majorEastAsia"/>
          <w:color w:val="auto"/>
          <w:kern w:val="2"/>
          <w:sz w:val="24"/>
          <w:szCs w:val="24"/>
          <w:highlight w:val="none"/>
          <w:lang w:val="en-US" w:eastAsia="zh-CN" w:bidi="ar-SA"/>
        </w:rPr>
      </w:pPr>
      <w:r>
        <w:rPr>
          <w:rFonts w:hint="eastAsia" w:asciiTheme="majorEastAsia" w:hAnsiTheme="majorEastAsia" w:eastAsiaTheme="majorEastAsia" w:cstheme="majorEastAsia"/>
          <w:color w:val="auto"/>
          <w:kern w:val="2"/>
          <w:sz w:val="24"/>
          <w:szCs w:val="24"/>
          <w:highlight w:val="none"/>
          <w:lang w:val="en-US" w:eastAsia="zh-CN" w:bidi="ar-SA"/>
        </w:rPr>
        <w:t>（27）▲场景摄录：设备可通过本机菜单选择相应场景进行摄  录，摄录过程中可显示场景名称并在录 制的视频中自动叠加场景名称；（以提供带有CNAS标识的公安部下属机构检测报告复印件，需标明该项内容在检验报告中对应的检验结果页码及序号）</w:t>
      </w:r>
    </w:p>
    <w:p w14:paraId="24CB566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jc w:val="left"/>
        <w:textAlignment w:val="auto"/>
        <w:rPr>
          <w:rFonts w:hint="eastAsia" w:asciiTheme="majorEastAsia" w:hAnsiTheme="majorEastAsia" w:eastAsiaTheme="majorEastAsia" w:cstheme="majorEastAsia"/>
          <w:color w:val="auto"/>
          <w:kern w:val="2"/>
          <w:sz w:val="24"/>
          <w:szCs w:val="24"/>
          <w:highlight w:val="none"/>
          <w:lang w:val="en-US" w:eastAsia="zh-CN" w:bidi="ar-SA"/>
        </w:rPr>
      </w:pPr>
      <w:r>
        <w:rPr>
          <w:rFonts w:hint="eastAsia" w:asciiTheme="majorEastAsia" w:hAnsiTheme="majorEastAsia" w:eastAsiaTheme="majorEastAsia" w:cstheme="majorEastAsia"/>
          <w:color w:val="auto"/>
          <w:kern w:val="2"/>
          <w:sz w:val="24"/>
          <w:szCs w:val="24"/>
          <w:highlight w:val="none"/>
          <w:lang w:val="en-US" w:eastAsia="zh-CN" w:bidi="ar-SA"/>
        </w:rPr>
        <w:t>（28）▲SOS联动报警功能：长按相应按键后可自动报警，平台应急调度地图闪烁并显示SOS求救位置，点击报警查看按钮后自动调取现场视频，在管理平台设置的距离阈值内其它执法记 录仪可接收SOS求救信息；（以提供带有CNAS标识的公安部下属机构检测报告复印件，需标明该项内容在检验报告中对应的检验结果页码及序号）</w:t>
      </w:r>
    </w:p>
    <w:p w14:paraId="6CCCA8A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jc w:val="left"/>
        <w:textAlignment w:val="auto"/>
        <w:rPr>
          <w:rFonts w:hint="eastAsia" w:asciiTheme="majorEastAsia" w:hAnsiTheme="majorEastAsia" w:eastAsiaTheme="majorEastAsia" w:cstheme="majorEastAsia"/>
          <w:color w:val="auto"/>
          <w:kern w:val="2"/>
          <w:sz w:val="24"/>
          <w:szCs w:val="24"/>
          <w:highlight w:val="none"/>
          <w:lang w:val="en-US" w:eastAsia="zh-CN" w:bidi="ar-SA"/>
        </w:rPr>
      </w:pPr>
      <w:r>
        <w:rPr>
          <w:rFonts w:hint="eastAsia" w:asciiTheme="majorEastAsia" w:hAnsiTheme="majorEastAsia" w:eastAsiaTheme="majorEastAsia" w:cstheme="majorEastAsia"/>
          <w:color w:val="auto"/>
          <w:kern w:val="2"/>
          <w:sz w:val="24"/>
          <w:szCs w:val="24"/>
          <w:highlight w:val="none"/>
          <w:lang w:val="en-US" w:eastAsia="zh-CN" w:bidi="ar-SA"/>
        </w:rPr>
        <w:t>（29）▲语音备注功能：设备录像前打开语音备注功能，结束录像时可录制语音信息进行备注，设备将语音备注信息转化为文字并生成相应文档对录像文件进行备注，平台端将此类有备注的录像文件自动分类归档到相应的案件类别中，对视频文件进行自动甄别，重点保存；（以提供带有CNAS标识的公安部下属机构检测报告复印件，需标明该项内容在检验报告中对应的检验结果页码及序号）</w:t>
      </w:r>
    </w:p>
    <w:p w14:paraId="76FB92D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jc w:val="left"/>
        <w:textAlignment w:val="auto"/>
        <w:rPr>
          <w:rFonts w:hint="eastAsia" w:asciiTheme="majorEastAsia" w:hAnsiTheme="majorEastAsia" w:eastAsiaTheme="majorEastAsia" w:cstheme="majorEastAsia"/>
          <w:color w:val="auto"/>
          <w:kern w:val="2"/>
          <w:sz w:val="24"/>
          <w:szCs w:val="24"/>
          <w:highlight w:val="none"/>
          <w:lang w:val="en-US" w:eastAsia="zh-CN" w:bidi="ar-SA"/>
        </w:rPr>
      </w:pPr>
      <w:r>
        <w:rPr>
          <w:rFonts w:hint="eastAsia" w:asciiTheme="majorEastAsia" w:hAnsiTheme="majorEastAsia" w:eastAsiaTheme="majorEastAsia" w:cstheme="majorEastAsia"/>
          <w:color w:val="auto"/>
          <w:kern w:val="2"/>
          <w:sz w:val="24"/>
          <w:szCs w:val="24"/>
          <w:highlight w:val="none"/>
          <w:lang w:val="en-US" w:eastAsia="zh-CN" w:bidi="ar-SA"/>
        </w:rPr>
        <w:t>（30）▲具备工业和信息化部电子第五研究所出具的单北斗认证证书。</w:t>
      </w:r>
    </w:p>
    <w:p w14:paraId="59507927">
      <w:pPr>
        <w:pStyle w:val="2"/>
        <w:pageBreakBefore w:val="0"/>
        <w:widowControl w:val="0"/>
        <w:kinsoku/>
        <w:wordWrap/>
        <w:overflowPunct/>
        <w:topLinePunct w:val="0"/>
        <w:autoSpaceDE/>
        <w:autoSpaceDN/>
        <w:bidi w:val="0"/>
        <w:adjustRightInd/>
        <w:snapToGrid/>
        <w:spacing w:before="0" w:after="0" w:line="440" w:lineRule="exact"/>
        <w:ind w:leftChars="0"/>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val="en-US" w:eastAsia="zh-CN"/>
        </w:rPr>
        <w:t>3.</w:t>
      </w:r>
      <w:r>
        <w:rPr>
          <w:rFonts w:hint="eastAsia" w:asciiTheme="majorEastAsia" w:hAnsiTheme="majorEastAsia" w:eastAsiaTheme="majorEastAsia" w:cstheme="majorEastAsia"/>
          <w:color w:val="auto"/>
          <w:sz w:val="24"/>
          <w:szCs w:val="24"/>
          <w:highlight w:val="none"/>
        </w:rPr>
        <w:t>打印机</w:t>
      </w:r>
    </w:p>
    <w:p w14:paraId="168450F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jc w:val="both"/>
        <w:textAlignment w:val="auto"/>
        <w:rPr>
          <w:rFonts w:hint="eastAsia" w:asciiTheme="majorEastAsia" w:hAnsiTheme="majorEastAsia" w:eastAsiaTheme="majorEastAsia" w:cstheme="majorEastAsia"/>
          <w:color w:val="auto"/>
          <w:sz w:val="24"/>
          <w:szCs w:val="24"/>
          <w:highlight w:val="none"/>
          <w:lang w:val="zh-CN"/>
        </w:rPr>
      </w:pPr>
      <w:r>
        <w:rPr>
          <w:rFonts w:hint="eastAsia" w:asciiTheme="majorEastAsia" w:hAnsiTheme="majorEastAsia" w:eastAsiaTheme="majorEastAsia" w:cstheme="majorEastAsia"/>
          <w:color w:val="auto"/>
          <w:sz w:val="24"/>
          <w:szCs w:val="24"/>
          <w:highlight w:val="none"/>
          <w:lang w:val="en-US" w:eastAsia="zh-CN"/>
        </w:rPr>
        <w:t>（1）</w:t>
      </w:r>
      <w:r>
        <w:rPr>
          <w:rFonts w:hint="eastAsia" w:asciiTheme="majorEastAsia" w:hAnsiTheme="majorEastAsia" w:eastAsiaTheme="majorEastAsia" w:cstheme="majorEastAsia"/>
          <w:color w:val="auto"/>
          <w:sz w:val="24"/>
          <w:szCs w:val="24"/>
          <w:highlight w:val="none"/>
          <w:lang w:val="zh-CN"/>
        </w:rPr>
        <w:t>打印方式 ：按需喷墨；</w:t>
      </w:r>
    </w:p>
    <w:p w14:paraId="7B99A1C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jc w:val="both"/>
        <w:textAlignment w:val="auto"/>
        <w:rPr>
          <w:rFonts w:hint="eastAsia" w:asciiTheme="majorEastAsia" w:hAnsiTheme="majorEastAsia" w:eastAsiaTheme="majorEastAsia" w:cstheme="majorEastAsia"/>
          <w:color w:val="auto"/>
          <w:sz w:val="24"/>
          <w:szCs w:val="24"/>
          <w:highlight w:val="none"/>
          <w:lang w:val="zh-CN"/>
        </w:rPr>
      </w:pPr>
      <w:r>
        <w:rPr>
          <w:rFonts w:hint="eastAsia" w:asciiTheme="majorEastAsia" w:hAnsiTheme="majorEastAsia" w:eastAsiaTheme="majorEastAsia" w:cstheme="majorEastAsia"/>
          <w:color w:val="auto"/>
          <w:sz w:val="24"/>
          <w:szCs w:val="24"/>
          <w:highlight w:val="none"/>
          <w:lang w:val="en-US" w:eastAsia="zh-CN"/>
        </w:rPr>
        <w:t>（2）</w:t>
      </w:r>
      <w:r>
        <w:rPr>
          <w:rFonts w:hint="eastAsia" w:asciiTheme="majorEastAsia" w:hAnsiTheme="majorEastAsia" w:eastAsiaTheme="majorEastAsia" w:cstheme="majorEastAsia"/>
          <w:color w:val="auto"/>
          <w:sz w:val="24"/>
          <w:szCs w:val="24"/>
          <w:highlight w:val="none"/>
          <w:lang w:val="zh-CN"/>
        </w:rPr>
        <w:t>最高打印分辨率：5760x1440dpi；</w:t>
      </w:r>
    </w:p>
    <w:p w14:paraId="79EF201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jc w:val="both"/>
        <w:textAlignment w:val="auto"/>
        <w:rPr>
          <w:rFonts w:hint="eastAsia" w:asciiTheme="majorEastAsia" w:hAnsiTheme="majorEastAsia" w:eastAsiaTheme="majorEastAsia" w:cstheme="majorEastAsia"/>
          <w:color w:val="auto"/>
          <w:sz w:val="24"/>
          <w:szCs w:val="24"/>
          <w:highlight w:val="none"/>
          <w:lang w:val="zh-CN"/>
        </w:rPr>
      </w:pPr>
      <w:r>
        <w:rPr>
          <w:rFonts w:hint="eastAsia" w:asciiTheme="majorEastAsia" w:hAnsiTheme="majorEastAsia" w:eastAsiaTheme="majorEastAsia" w:cstheme="majorEastAsia"/>
          <w:color w:val="auto"/>
          <w:sz w:val="24"/>
          <w:szCs w:val="24"/>
          <w:highlight w:val="none"/>
          <w:lang w:val="en-US" w:eastAsia="zh-CN"/>
        </w:rPr>
        <w:t>（3）</w:t>
      </w:r>
      <w:r>
        <w:rPr>
          <w:rFonts w:hint="eastAsia" w:asciiTheme="majorEastAsia" w:hAnsiTheme="majorEastAsia" w:eastAsiaTheme="majorEastAsia" w:cstheme="majorEastAsia"/>
          <w:color w:val="auto"/>
          <w:sz w:val="24"/>
          <w:szCs w:val="24"/>
          <w:highlight w:val="none"/>
          <w:lang w:val="zh-CN"/>
        </w:rPr>
        <w:t>最小墨滴尺寸：1.5微微升；</w:t>
      </w:r>
    </w:p>
    <w:p w14:paraId="128FEDD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jc w:val="both"/>
        <w:textAlignment w:val="auto"/>
        <w:rPr>
          <w:rFonts w:hint="eastAsia" w:asciiTheme="majorEastAsia" w:hAnsiTheme="majorEastAsia" w:eastAsiaTheme="majorEastAsia" w:cstheme="majorEastAsia"/>
          <w:color w:val="auto"/>
          <w:sz w:val="24"/>
          <w:szCs w:val="24"/>
          <w:highlight w:val="none"/>
          <w:lang w:val="zh-CN"/>
        </w:rPr>
      </w:pPr>
      <w:r>
        <w:rPr>
          <w:rFonts w:hint="eastAsia" w:asciiTheme="majorEastAsia" w:hAnsiTheme="majorEastAsia" w:eastAsiaTheme="majorEastAsia" w:cstheme="majorEastAsia"/>
          <w:color w:val="auto"/>
          <w:sz w:val="24"/>
          <w:szCs w:val="24"/>
          <w:highlight w:val="none"/>
          <w:lang w:val="en-US" w:eastAsia="zh-CN"/>
        </w:rPr>
        <w:t>（4）</w:t>
      </w:r>
      <w:r>
        <w:rPr>
          <w:rFonts w:hint="eastAsia" w:asciiTheme="majorEastAsia" w:hAnsiTheme="majorEastAsia" w:eastAsiaTheme="majorEastAsia" w:cstheme="majorEastAsia"/>
          <w:color w:val="auto"/>
          <w:sz w:val="24"/>
          <w:szCs w:val="24"/>
          <w:highlight w:val="none"/>
          <w:lang w:val="zh-CN"/>
        </w:rPr>
        <w:t>打印速度：黑白约7ipm，彩色约4ipm (A4,普通模式)*1；黑白约14ppm, 彩色约11ppm（A4,草稿模式）*2；</w:t>
      </w:r>
    </w:p>
    <w:p w14:paraId="7728722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jc w:val="both"/>
        <w:textAlignment w:val="auto"/>
        <w:rPr>
          <w:rFonts w:hint="eastAsia" w:asciiTheme="majorEastAsia" w:hAnsiTheme="majorEastAsia" w:eastAsiaTheme="majorEastAsia" w:cstheme="majorEastAsia"/>
          <w:color w:val="auto"/>
          <w:sz w:val="24"/>
          <w:szCs w:val="24"/>
          <w:highlight w:val="none"/>
          <w:lang w:val="zh-CN"/>
        </w:rPr>
      </w:pPr>
      <w:r>
        <w:rPr>
          <w:rFonts w:hint="eastAsia" w:asciiTheme="majorEastAsia" w:hAnsiTheme="majorEastAsia" w:eastAsiaTheme="majorEastAsia" w:cstheme="majorEastAsia"/>
          <w:color w:val="auto"/>
          <w:sz w:val="24"/>
          <w:szCs w:val="24"/>
          <w:highlight w:val="none"/>
          <w:lang w:val="en-US" w:eastAsia="zh-CN"/>
        </w:rPr>
        <w:t>（5）</w:t>
      </w:r>
      <w:r>
        <w:rPr>
          <w:rFonts w:hint="eastAsia" w:asciiTheme="majorEastAsia" w:hAnsiTheme="majorEastAsia" w:eastAsiaTheme="majorEastAsia" w:cstheme="majorEastAsia"/>
          <w:color w:val="auto"/>
          <w:sz w:val="24"/>
          <w:szCs w:val="24"/>
          <w:highlight w:val="none"/>
          <w:lang w:val="zh-CN"/>
        </w:rPr>
        <w:t>USB ：高速USB；</w:t>
      </w:r>
    </w:p>
    <w:p w14:paraId="56155A1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jc w:val="both"/>
        <w:textAlignment w:val="auto"/>
        <w:rPr>
          <w:rFonts w:hint="eastAsia" w:asciiTheme="majorEastAsia" w:hAnsiTheme="majorEastAsia" w:eastAsiaTheme="majorEastAsia" w:cstheme="majorEastAsia"/>
          <w:color w:val="auto"/>
          <w:sz w:val="24"/>
          <w:szCs w:val="24"/>
          <w:highlight w:val="none"/>
          <w:lang w:val="zh-CN"/>
        </w:rPr>
      </w:pPr>
      <w:r>
        <w:rPr>
          <w:rFonts w:hint="eastAsia" w:asciiTheme="majorEastAsia" w:hAnsiTheme="majorEastAsia" w:eastAsiaTheme="majorEastAsia" w:cstheme="majorEastAsia"/>
          <w:color w:val="auto"/>
          <w:sz w:val="24"/>
          <w:szCs w:val="24"/>
          <w:highlight w:val="none"/>
          <w:lang w:val="en-US" w:eastAsia="zh-CN"/>
        </w:rPr>
        <w:t>（6）</w:t>
      </w:r>
      <w:r>
        <w:rPr>
          <w:rFonts w:hint="eastAsia" w:asciiTheme="majorEastAsia" w:hAnsiTheme="majorEastAsia" w:eastAsiaTheme="majorEastAsia" w:cstheme="majorEastAsia"/>
          <w:color w:val="auto"/>
          <w:sz w:val="24"/>
          <w:szCs w:val="24"/>
          <w:highlight w:val="none"/>
          <w:lang w:val="zh-CN"/>
        </w:rPr>
        <w:t>无线接口：IEEE802.11b/g/n,IEEE802.11a/n/ac；</w:t>
      </w:r>
    </w:p>
    <w:p w14:paraId="3B58524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jc w:val="both"/>
        <w:textAlignment w:val="auto"/>
        <w:rPr>
          <w:rFonts w:hint="eastAsia" w:asciiTheme="majorEastAsia" w:hAnsiTheme="majorEastAsia" w:eastAsiaTheme="majorEastAsia" w:cstheme="majorEastAsia"/>
          <w:color w:val="auto"/>
          <w:sz w:val="24"/>
          <w:szCs w:val="24"/>
          <w:highlight w:val="none"/>
          <w:lang w:val="zh-CN"/>
        </w:rPr>
      </w:pPr>
      <w:r>
        <w:rPr>
          <w:rFonts w:hint="eastAsia" w:asciiTheme="majorEastAsia" w:hAnsiTheme="majorEastAsia" w:eastAsiaTheme="majorEastAsia" w:cstheme="majorEastAsia"/>
          <w:color w:val="auto"/>
          <w:sz w:val="24"/>
          <w:szCs w:val="24"/>
          <w:highlight w:val="none"/>
          <w:lang w:val="en-US" w:eastAsia="zh-CN"/>
        </w:rPr>
        <w:t>（7）</w:t>
      </w:r>
      <w:r>
        <w:rPr>
          <w:rFonts w:hint="eastAsia" w:asciiTheme="majorEastAsia" w:hAnsiTheme="majorEastAsia" w:eastAsiaTheme="majorEastAsia" w:cstheme="majorEastAsia"/>
          <w:color w:val="auto"/>
          <w:sz w:val="24"/>
          <w:szCs w:val="24"/>
          <w:highlight w:val="none"/>
          <w:lang w:val="zh-CN"/>
        </w:rPr>
        <w:t>Wi-Fi Direct：支持；</w:t>
      </w:r>
    </w:p>
    <w:p w14:paraId="2A1F3B4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jc w:val="both"/>
        <w:textAlignment w:val="auto"/>
        <w:rPr>
          <w:rFonts w:hint="eastAsia" w:asciiTheme="majorEastAsia" w:hAnsiTheme="majorEastAsia" w:eastAsiaTheme="majorEastAsia" w:cstheme="majorEastAsia"/>
          <w:color w:val="auto"/>
          <w:sz w:val="24"/>
          <w:szCs w:val="24"/>
          <w:highlight w:val="none"/>
          <w:lang w:val="zh-CN"/>
        </w:rPr>
      </w:pPr>
      <w:r>
        <w:rPr>
          <w:rFonts w:hint="eastAsia" w:asciiTheme="majorEastAsia" w:hAnsiTheme="majorEastAsia" w:eastAsiaTheme="majorEastAsia" w:cstheme="majorEastAsia"/>
          <w:color w:val="auto"/>
          <w:sz w:val="24"/>
          <w:szCs w:val="24"/>
          <w:highlight w:val="none"/>
          <w:lang w:val="en-US" w:eastAsia="zh-CN"/>
        </w:rPr>
        <w:t>（8）</w:t>
      </w:r>
      <w:r>
        <w:rPr>
          <w:rFonts w:hint="eastAsia" w:asciiTheme="majorEastAsia" w:hAnsiTheme="majorEastAsia" w:eastAsiaTheme="majorEastAsia" w:cstheme="majorEastAsia"/>
          <w:color w:val="auto"/>
          <w:sz w:val="24"/>
          <w:szCs w:val="24"/>
          <w:highlight w:val="none"/>
          <w:lang w:val="zh-CN"/>
        </w:rPr>
        <w:t>网络协议：TCP/IPv4,TCP/IPv6；</w:t>
      </w:r>
    </w:p>
    <w:p w14:paraId="0D85152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jc w:val="both"/>
        <w:textAlignment w:val="auto"/>
        <w:rPr>
          <w:rFonts w:hint="eastAsia" w:asciiTheme="majorEastAsia" w:hAnsiTheme="majorEastAsia" w:eastAsiaTheme="majorEastAsia" w:cstheme="majorEastAsia"/>
          <w:color w:val="auto"/>
          <w:sz w:val="24"/>
          <w:szCs w:val="24"/>
          <w:highlight w:val="none"/>
          <w:lang w:val="zh-CN"/>
        </w:rPr>
      </w:pPr>
      <w:r>
        <w:rPr>
          <w:rFonts w:hint="eastAsia" w:asciiTheme="majorEastAsia" w:hAnsiTheme="majorEastAsia" w:eastAsiaTheme="majorEastAsia" w:cstheme="majorEastAsia"/>
          <w:color w:val="auto"/>
          <w:sz w:val="24"/>
          <w:szCs w:val="24"/>
          <w:highlight w:val="none"/>
          <w:lang w:val="en-US" w:eastAsia="zh-CN"/>
        </w:rPr>
        <w:t>（9）</w:t>
      </w:r>
      <w:r>
        <w:rPr>
          <w:rFonts w:hint="eastAsia" w:asciiTheme="majorEastAsia" w:hAnsiTheme="majorEastAsia" w:eastAsiaTheme="majorEastAsia" w:cstheme="majorEastAsia"/>
          <w:color w:val="auto"/>
          <w:sz w:val="24"/>
          <w:szCs w:val="24"/>
          <w:highlight w:val="none"/>
          <w:lang w:val="zh-CN"/>
        </w:rPr>
        <w:t>纸张进纸方式：摩擦进纸；</w:t>
      </w:r>
    </w:p>
    <w:p w14:paraId="7C16670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jc w:val="both"/>
        <w:textAlignment w:val="auto"/>
        <w:rPr>
          <w:rFonts w:hint="eastAsia" w:asciiTheme="majorEastAsia" w:hAnsiTheme="majorEastAsia" w:eastAsiaTheme="majorEastAsia" w:cstheme="majorEastAsia"/>
          <w:color w:val="auto"/>
          <w:sz w:val="24"/>
          <w:szCs w:val="24"/>
          <w:highlight w:val="none"/>
          <w:lang w:val="zh-CN"/>
        </w:rPr>
      </w:pPr>
      <w:r>
        <w:rPr>
          <w:rFonts w:hint="eastAsia" w:asciiTheme="majorEastAsia" w:hAnsiTheme="majorEastAsia" w:eastAsiaTheme="majorEastAsia" w:cstheme="majorEastAsia"/>
          <w:color w:val="auto"/>
          <w:sz w:val="24"/>
          <w:szCs w:val="24"/>
          <w:highlight w:val="none"/>
          <w:lang w:val="en-US" w:eastAsia="zh-CN"/>
        </w:rPr>
        <w:t>（10）</w:t>
      </w:r>
      <w:r>
        <w:rPr>
          <w:rFonts w:hint="eastAsia" w:asciiTheme="majorEastAsia" w:hAnsiTheme="majorEastAsia" w:eastAsiaTheme="majorEastAsia" w:cstheme="majorEastAsia"/>
          <w:color w:val="auto"/>
          <w:sz w:val="24"/>
          <w:szCs w:val="24"/>
          <w:highlight w:val="none"/>
          <w:lang w:val="zh-CN"/>
        </w:rPr>
        <w:t>进纸器：1个（后部）；</w:t>
      </w:r>
    </w:p>
    <w:p w14:paraId="2962655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jc w:val="both"/>
        <w:textAlignment w:val="auto"/>
        <w:rPr>
          <w:rFonts w:hint="eastAsia" w:asciiTheme="majorEastAsia" w:hAnsiTheme="majorEastAsia" w:eastAsiaTheme="majorEastAsia" w:cstheme="majorEastAsia"/>
          <w:color w:val="auto"/>
          <w:sz w:val="24"/>
          <w:szCs w:val="24"/>
          <w:highlight w:val="none"/>
          <w:lang w:val="zh-CN"/>
        </w:rPr>
      </w:pPr>
      <w:r>
        <w:rPr>
          <w:rFonts w:hint="eastAsia" w:asciiTheme="majorEastAsia" w:hAnsiTheme="majorEastAsia" w:eastAsiaTheme="majorEastAsia" w:cstheme="majorEastAsia"/>
          <w:color w:val="auto"/>
          <w:sz w:val="24"/>
          <w:szCs w:val="24"/>
          <w:highlight w:val="none"/>
          <w:lang w:val="en-US" w:eastAsia="zh-CN"/>
        </w:rPr>
        <w:t>（11）</w:t>
      </w:r>
      <w:r>
        <w:rPr>
          <w:rFonts w:hint="eastAsia" w:asciiTheme="majorEastAsia" w:hAnsiTheme="majorEastAsia" w:eastAsiaTheme="majorEastAsia" w:cstheme="majorEastAsia"/>
          <w:color w:val="auto"/>
          <w:sz w:val="24"/>
          <w:szCs w:val="24"/>
          <w:highlight w:val="none"/>
          <w:lang w:val="zh-CN"/>
        </w:rPr>
        <w:t>进纸器容量：20页，A4普通纸（75g/m</w:t>
      </w:r>
      <w:r>
        <w:rPr>
          <w:rFonts w:hint="eastAsia" w:asciiTheme="majorEastAsia" w:hAnsiTheme="majorEastAsia" w:eastAsiaTheme="majorEastAsia" w:cstheme="majorEastAsia"/>
          <w:color w:val="auto"/>
          <w:sz w:val="24"/>
          <w:szCs w:val="24"/>
          <w:highlight w:val="none"/>
          <w:vertAlign w:val="superscript"/>
          <w:lang w:val="zh-CN"/>
        </w:rPr>
        <w:t>2</w:t>
      </w:r>
      <w:r>
        <w:rPr>
          <w:rFonts w:hint="eastAsia" w:asciiTheme="majorEastAsia" w:hAnsiTheme="majorEastAsia" w:eastAsiaTheme="majorEastAsia" w:cstheme="majorEastAsia"/>
          <w:color w:val="auto"/>
          <w:sz w:val="24"/>
          <w:szCs w:val="24"/>
          <w:highlight w:val="none"/>
          <w:lang w:val="zh-CN"/>
        </w:rPr>
        <w:t>）；</w:t>
      </w:r>
    </w:p>
    <w:p w14:paraId="61AE67C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jc w:val="both"/>
        <w:textAlignment w:val="auto"/>
        <w:rPr>
          <w:rFonts w:hint="eastAsia" w:asciiTheme="majorEastAsia" w:hAnsiTheme="majorEastAsia" w:eastAsiaTheme="majorEastAsia" w:cstheme="majorEastAsia"/>
          <w:color w:val="auto"/>
          <w:sz w:val="24"/>
          <w:szCs w:val="24"/>
          <w:highlight w:val="none"/>
          <w:lang w:val="zh-CN"/>
        </w:rPr>
      </w:pPr>
      <w:r>
        <w:rPr>
          <w:rFonts w:hint="eastAsia" w:asciiTheme="majorEastAsia" w:hAnsiTheme="majorEastAsia" w:eastAsiaTheme="majorEastAsia" w:cstheme="majorEastAsia"/>
          <w:color w:val="auto"/>
          <w:sz w:val="24"/>
          <w:szCs w:val="24"/>
          <w:highlight w:val="none"/>
          <w:lang w:val="en-US" w:eastAsia="zh-CN"/>
        </w:rPr>
        <w:t>（12）</w:t>
      </w:r>
      <w:r>
        <w:rPr>
          <w:rFonts w:hint="eastAsia" w:asciiTheme="majorEastAsia" w:hAnsiTheme="majorEastAsia" w:eastAsiaTheme="majorEastAsia" w:cstheme="majorEastAsia"/>
          <w:color w:val="auto"/>
          <w:sz w:val="24"/>
          <w:szCs w:val="24"/>
          <w:highlight w:val="none"/>
          <w:lang w:val="zh-CN"/>
        </w:rPr>
        <w:t>出纸方向：面朝上；</w:t>
      </w:r>
    </w:p>
    <w:p w14:paraId="2C476D1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jc w:val="both"/>
        <w:textAlignment w:val="auto"/>
        <w:rPr>
          <w:rFonts w:hint="eastAsia" w:asciiTheme="majorEastAsia" w:hAnsiTheme="majorEastAsia" w:eastAsiaTheme="majorEastAsia" w:cstheme="majorEastAsia"/>
          <w:color w:val="auto"/>
          <w:sz w:val="24"/>
          <w:szCs w:val="24"/>
          <w:highlight w:val="none"/>
          <w:lang w:val="zh-CN"/>
        </w:rPr>
      </w:pPr>
      <w:r>
        <w:rPr>
          <w:rFonts w:hint="eastAsia" w:asciiTheme="majorEastAsia" w:hAnsiTheme="majorEastAsia" w:eastAsiaTheme="majorEastAsia" w:cstheme="majorEastAsia"/>
          <w:color w:val="auto"/>
          <w:sz w:val="24"/>
          <w:szCs w:val="24"/>
          <w:highlight w:val="none"/>
          <w:lang w:val="en-US" w:eastAsia="zh-CN"/>
        </w:rPr>
        <w:t>（13）</w:t>
      </w:r>
      <w:r>
        <w:rPr>
          <w:rFonts w:hint="eastAsia" w:asciiTheme="majorEastAsia" w:hAnsiTheme="majorEastAsia" w:eastAsiaTheme="majorEastAsia" w:cstheme="majorEastAsia"/>
          <w:color w:val="auto"/>
          <w:sz w:val="24"/>
          <w:szCs w:val="24"/>
          <w:highlight w:val="none"/>
          <w:lang w:val="zh-CN"/>
        </w:rPr>
        <w:t>支持最大纸张尺寸：A4；</w:t>
      </w:r>
    </w:p>
    <w:p w14:paraId="1993EF7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jc w:val="both"/>
        <w:textAlignment w:val="auto"/>
        <w:rPr>
          <w:rFonts w:hint="eastAsia" w:asciiTheme="majorEastAsia" w:hAnsiTheme="majorEastAsia" w:eastAsiaTheme="majorEastAsia" w:cstheme="majorEastAsia"/>
          <w:color w:val="auto"/>
          <w:sz w:val="24"/>
          <w:szCs w:val="24"/>
          <w:highlight w:val="none"/>
          <w:lang w:val="zh-CN"/>
        </w:rPr>
      </w:pPr>
      <w:r>
        <w:rPr>
          <w:rFonts w:hint="eastAsia" w:asciiTheme="majorEastAsia" w:hAnsiTheme="majorEastAsia" w:eastAsiaTheme="majorEastAsia" w:cstheme="majorEastAsia"/>
          <w:color w:val="auto"/>
          <w:sz w:val="24"/>
          <w:szCs w:val="24"/>
          <w:highlight w:val="none"/>
          <w:lang w:val="en-US" w:eastAsia="zh-CN"/>
        </w:rPr>
        <w:t>（14）</w:t>
      </w:r>
      <w:r>
        <w:rPr>
          <w:rFonts w:hint="eastAsia" w:asciiTheme="majorEastAsia" w:hAnsiTheme="majorEastAsia" w:eastAsiaTheme="majorEastAsia" w:cstheme="majorEastAsia"/>
          <w:color w:val="auto"/>
          <w:sz w:val="24"/>
          <w:szCs w:val="24"/>
          <w:highlight w:val="none"/>
          <w:lang w:val="zh-CN"/>
        </w:rPr>
        <w:t>支持纸张重量：普通纸 64</w:t>
      </w:r>
      <w:r>
        <w:rPr>
          <w:rFonts w:hint="eastAsia" w:asciiTheme="majorEastAsia" w:hAnsiTheme="majorEastAsia" w:eastAsiaTheme="majorEastAsia" w:cstheme="majorEastAsia"/>
          <w:color w:val="auto"/>
          <w:sz w:val="24"/>
          <w:szCs w:val="24"/>
          <w:highlight w:val="none"/>
          <w:vertAlign w:val="baseline"/>
        </w:rPr>
        <w:t>～</w:t>
      </w:r>
      <w:r>
        <w:rPr>
          <w:rFonts w:hint="eastAsia" w:asciiTheme="majorEastAsia" w:hAnsiTheme="majorEastAsia" w:eastAsiaTheme="majorEastAsia" w:cstheme="majorEastAsia"/>
          <w:color w:val="auto"/>
          <w:sz w:val="24"/>
          <w:szCs w:val="24"/>
          <w:highlight w:val="none"/>
          <w:lang w:val="zh-CN"/>
        </w:rPr>
        <w:t>90g/m</w:t>
      </w:r>
      <w:r>
        <w:rPr>
          <w:rFonts w:hint="eastAsia" w:asciiTheme="majorEastAsia" w:hAnsiTheme="majorEastAsia" w:eastAsiaTheme="majorEastAsia" w:cstheme="majorEastAsia"/>
          <w:color w:val="auto"/>
          <w:sz w:val="24"/>
          <w:szCs w:val="24"/>
          <w:highlight w:val="none"/>
          <w:vertAlign w:val="superscript"/>
          <w:lang w:val="zh-CN"/>
        </w:rPr>
        <w:t>2</w:t>
      </w:r>
      <w:r>
        <w:rPr>
          <w:rFonts w:hint="eastAsia" w:asciiTheme="majorEastAsia" w:hAnsiTheme="majorEastAsia" w:eastAsiaTheme="majorEastAsia" w:cstheme="majorEastAsia"/>
          <w:color w:val="auto"/>
          <w:sz w:val="24"/>
          <w:szCs w:val="24"/>
          <w:highlight w:val="none"/>
          <w:lang w:val="zh-CN"/>
        </w:rPr>
        <w:t>；高级光面照片纸 102</w:t>
      </w:r>
      <w:r>
        <w:rPr>
          <w:rFonts w:hint="eastAsia" w:asciiTheme="majorEastAsia" w:hAnsiTheme="majorEastAsia" w:eastAsiaTheme="majorEastAsia" w:cstheme="majorEastAsia"/>
          <w:color w:val="auto"/>
          <w:sz w:val="24"/>
          <w:szCs w:val="24"/>
          <w:highlight w:val="none"/>
          <w:vertAlign w:val="baseline"/>
        </w:rPr>
        <w:t>～</w:t>
      </w:r>
      <w:r>
        <w:rPr>
          <w:rFonts w:hint="eastAsia" w:asciiTheme="majorEastAsia" w:hAnsiTheme="majorEastAsia" w:eastAsiaTheme="majorEastAsia" w:cstheme="majorEastAsia"/>
          <w:color w:val="auto"/>
          <w:sz w:val="24"/>
          <w:szCs w:val="24"/>
          <w:highlight w:val="none"/>
          <w:lang w:val="zh-CN"/>
        </w:rPr>
        <w:t>300g/m</w:t>
      </w:r>
      <w:r>
        <w:rPr>
          <w:rFonts w:hint="eastAsia" w:asciiTheme="majorEastAsia" w:hAnsiTheme="majorEastAsia" w:eastAsiaTheme="majorEastAsia" w:cstheme="majorEastAsia"/>
          <w:color w:val="auto"/>
          <w:sz w:val="24"/>
          <w:szCs w:val="24"/>
          <w:highlight w:val="none"/>
          <w:vertAlign w:val="superscript"/>
          <w:lang w:val="zh-CN"/>
        </w:rPr>
        <w:t>2</w:t>
      </w:r>
      <w:r>
        <w:rPr>
          <w:rFonts w:hint="eastAsia" w:asciiTheme="majorEastAsia" w:hAnsiTheme="majorEastAsia" w:eastAsiaTheme="majorEastAsia" w:cstheme="majorEastAsia"/>
          <w:color w:val="auto"/>
          <w:sz w:val="24"/>
          <w:szCs w:val="24"/>
          <w:highlight w:val="none"/>
          <w:lang w:val="zh-CN"/>
        </w:rPr>
        <w:t>。</w:t>
      </w:r>
    </w:p>
    <w:p w14:paraId="474FD38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0" w:firstLineChars="200"/>
        <w:jc w:val="both"/>
        <w:textAlignment w:val="auto"/>
        <w:rPr>
          <w:rFonts w:hint="eastAsia" w:asciiTheme="majorEastAsia" w:hAnsiTheme="majorEastAsia" w:eastAsiaTheme="majorEastAsia" w:cstheme="majorEastAsia"/>
          <w:color w:val="auto"/>
          <w:kern w:val="2"/>
          <w:sz w:val="24"/>
          <w:szCs w:val="24"/>
          <w:highlight w:val="none"/>
          <w:lang w:val="en-US" w:eastAsia="zh-CN" w:bidi="ar-SA"/>
        </w:rPr>
      </w:pPr>
      <w:r>
        <w:rPr>
          <w:rFonts w:hint="eastAsia" w:asciiTheme="majorEastAsia" w:hAnsiTheme="majorEastAsia" w:eastAsiaTheme="majorEastAsia" w:cstheme="majorEastAsia"/>
          <w:color w:val="auto"/>
          <w:sz w:val="24"/>
          <w:szCs w:val="24"/>
          <w:highlight w:val="none"/>
          <w:lang w:val="en-US" w:eastAsia="zh-CN"/>
        </w:rPr>
        <w:t>（</w:t>
      </w:r>
      <w:r>
        <w:rPr>
          <w:rFonts w:hint="eastAsia" w:asciiTheme="majorEastAsia" w:hAnsiTheme="majorEastAsia" w:eastAsiaTheme="majorEastAsia" w:cstheme="majorEastAsia"/>
          <w:color w:val="auto"/>
          <w:kern w:val="2"/>
          <w:sz w:val="24"/>
          <w:szCs w:val="24"/>
          <w:highlight w:val="none"/>
          <w:lang w:val="en-US" w:eastAsia="zh-CN" w:bidi="ar-SA"/>
        </w:rPr>
        <w:t>15）需支持满足三种携带方式：单肩/斜挎/手提；</w:t>
      </w:r>
    </w:p>
    <w:p w14:paraId="1847593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0" w:firstLineChars="200"/>
        <w:jc w:val="both"/>
        <w:textAlignment w:val="auto"/>
        <w:rPr>
          <w:rFonts w:hint="eastAsia" w:asciiTheme="majorEastAsia" w:hAnsiTheme="majorEastAsia" w:eastAsiaTheme="majorEastAsia" w:cstheme="majorEastAsia"/>
          <w:color w:val="auto"/>
          <w:kern w:val="2"/>
          <w:sz w:val="24"/>
          <w:szCs w:val="24"/>
          <w:highlight w:val="none"/>
          <w:lang w:val="en-US" w:eastAsia="zh-CN" w:bidi="ar-SA"/>
        </w:rPr>
      </w:pPr>
      <w:r>
        <w:rPr>
          <w:rFonts w:hint="eastAsia" w:asciiTheme="majorEastAsia" w:hAnsiTheme="majorEastAsia" w:eastAsiaTheme="majorEastAsia" w:cstheme="majorEastAsia"/>
          <w:color w:val="auto"/>
          <w:sz w:val="24"/>
          <w:szCs w:val="24"/>
          <w:highlight w:val="none"/>
          <w:lang w:val="en-US" w:eastAsia="zh-CN"/>
        </w:rPr>
        <w:t>（</w:t>
      </w:r>
      <w:r>
        <w:rPr>
          <w:rFonts w:hint="eastAsia" w:asciiTheme="majorEastAsia" w:hAnsiTheme="majorEastAsia" w:eastAsiaTheme="majorEastAsia" w:cstheme="majorEastAsia"/>
          <w:color w:val="auto"/>
          <w:kern w:val="2"/>
          <w:sz w:val="24"/>
          <w:szCs w:val="24"/>
          <w:highlight w:val="none"/>
          <w:lang w:val="en-US" w:eastAsia="zh-CN" w:bidi="ar-SA"/>
        </w:rPr>
        <w:t>16）大容量，三层主副袋；</w:t>
      </w:r>
    </w:p>
    <w:p w14:paraId="02719C0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0" w:firstLineChars="200"/>
        <w:jc w:val="both"/>
        <w:textAlignment w:val="auto"/>
        <w:rPr>
          <w:rFonts w:hint="eastAsia" w:asciiTheme="majorEastAsia" w:hAnsiTheme="majorEastAsia" w:eastAsiaTheme="majorEastAsia" w:cstheme="majorEastAsia"/>
          <w:color w:val="auto"/>
          <w:kern w:val="2"/>
          <w:sz w:val="24"/>
          <w:szCs w:val="24"/>
          <w:highlight w:val="none"/>
          <w:lang w:val="en-US" w:eastAsia="zh-CN" w:bidi="ar-SA"/>
        </w:rPr>
      </w:pPr>
      <w:r>
        <w:rPr>
          <w:rFonts w:hint="eastAsia" w:asciiTheme="majorEastAsia" w:hAnsiTheme="majorEastAsia" w:eastAsiaTheme="majorEastAsia" w:cstheme="majorEastAsia"/>
          <w:color w:val="auto"/>
          <w:sz w:val="24"/>
          <w:szCs w:val="24"/>
          <w:highlight w:val="none"/>
          <w:lang w:val="en-US" w:eastAsia="zh-CN"/>
        </w:rPr>
        <w:t>（</w:t>
      </w:r>
      <w:r>
        <w:rPr>
          <w:rFonts w:hint="eastAsia" w:asciiTheme="majorEastAsia" w:hAnsiTheme="majorEastAsia" w:eastAsiaTheme="majorEastAsia" w:cstheme="majorEastAsia"/>
          <w:color w:val="auto"/>
          <w:kern w:val="2"/>
          <w:sz w:val="24"/>
          <w:szCs w:val="24"/>
          <w:highlight w:val="none"/>
          <w:lang w:val="en-US" w:eastAsia="zh-CN" w:bidi="ar-SA"/>
        </w:rPr>
        <w:t>17）支持防水、缓震、散热；</w:t>
      </w:r>
    </w:p>
    <w:p w14:paraId="74222C1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0" w:firstLineChars="200"/>
        <w:jc w:val="both"/>
        <w:textAlignment w:val="auto"/>
        <w:rPr>
          <w:rFonts w:hint="eastAsia" w:asciiTheme="majorEastAsia" w:hAnsiTheme="majorEastAsia" w:eastAsiaTheme="majorEastAsia" w:cstheme="majorEastAsia"/>
          <w:color w:val="auto"/>
          <w:kern w:val="2"/>
          <w:sz w:val="24"/>
          <w:szCs w:val="24"/>
          <w:highlight w:val="none"/>
          <w:lang w:val="en-US" w:eastAsia="zh-CN" w:bidi="ar-SA"/>
        </w:rPr>
      </w:pPr>
      <w:r>
        <w:rPr>
          <w:rFonts w:hint="eastAsia" w:asciiTheme="majorEastAsia" w:hAnsiTheme="majorEastAsia" w:eastAsiaTheme="majorEastAsia" w:cstheme="majorEastAsia"/>
          <w:color w:val="auto"/>
          <w:sz w:val="24"/>
          <w:szCs w:val="24"/>
          <w:highlight w:val="none"/>
          <w:lang w:val="en-US" w:eastAsia="zh-CN"/>
        </w:rPr>
        <w:t>（</w:t>
      </w:r>
      <w:r>
        <w:rPr>
          <w:rFonts w:hint="eastAsia" w:asciiTheme="majorEastAsia" w:hAnsiTheme="majorEastAsia" w:eastAsiaTheme="majorEastAsia" w:cstheme="majorEastAsia"/>
          <w:color w:val="auto"/>
          <w:kern w:val="2"/>
          <w:sz w:val="24"/>
          <w:szCs w:val="24"/>
          <w:highlight w:val="none"/>
          <w:lang w:val="en-US" w:eastAsia="zh-CN" w:bidi="ar-SA"/>
        </w:rPr>
        <w:t>18）支持分离式可拆卸内隔板；</w:t>
      </w:r>
    </w:p>
    <w:p w14:paraId="4DEFF6E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0" w:firstLineChars="200"/>
        <w:jc w:val="both"/>
        <w:textAlignment w:val="auto"/>
        <w:rPr>
          <w:rFonts w:hint="eastAsia" w:asciiTheme="majorEastAsia" w:hAnsiTheme="majorEastAsia" w:eastAsiaTheme="majorEastAsia" w:cstheme="majorEastAsia"/>
          <w:color w:val="auto"/>
          <w:kern w:val="2"/>
          <w:sz w:val="24"/>
          <w:szCs w:val="24"/>
          <w:highlight w:val="none"/>
          <w:lang w:val="en-US" w:eastAsia="zh-CN" w:bidi="ar-SA"/>
        </w:rPr>
      </w:pPr>
      <w:r>
        <w:rPr>
          <w:rFonts w:hint="eastAsia" w:asciiTheme="majorEastAsia" w:hAnsiTheme="majorEastAsia" w:eastAsiaTheme="majorEastAsia" w:cstheme="majorEastAsia"/>
          <w:color w:val="auto"/>
          <w:sz w:val="24"/>
          <w:szCs w:val="24"/>
          <w:highlight w:val="none"/>
          <w:lang w:val="en-US" w:eastAsia="zh-CN"/>
        </w:rPr>
        <w:t>（</w:t>
      </w:r>
      <w:r>
        <w:rPr>
          <w:rFonts w:hint="eastAsia" w:asciiTheme="majorEastAsia" w:hAnsiTheme="majorEastAsia" w:eastAsiaTheme="majorEastAsia" w:cstheme="majorEastAsia"/>
          <w:color w:val="auto"/>
          <w:kern w:val="2"/>
          <w:sz w:val="24"/>
          <w:szCs w:val="24"/>
          <w:highlight w:val="none"/>
          <w:lang w:val="en-US" w:eastAsia="zh-CN" w:bidi="ar-SA"/>
        </w:rPr>
        <w:t>19）底部带脚垫，有防摔作用；</w:t>
      </w:r>
    </w:p>
    <w:p w14:paraId="5D86B7E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0" w:firstLineChars="200"/>
        <w:jc w:val="both"/>
        <w:textAlignment w:val="auto"/>
        <w:rPr>
          <w:rFonts w:hint="eastAsia" w:asciiTheme="majorEastAsia" w:hAnsiTheme="majorEastAsia" w:eastAsiaTheme="majorEastAsia" w:cstheme="majorEastAsia"/>
          <w:color w:val="auto"/>
          <w:kern w:val="2"/>
          <w:sz w:val="24"/>
          <w:szCs w:val="24"/>
          <w:highlight w:val="none"/>
          <w:lang w:val="en-US" w:eastAsia="zh-CN" w:bidi="ar-SA"/>
        </w:rPr>
      </w:pPr>
      <w:r>
        <w:rPr>
          <w:rFonts w:hint="eastAsia" w:asciiTheme="majorEastAsia" w:hAnsiTheme="majorEastAsia" w:eastAsiaTheme="majorEastAsia" w:cstheme="majorEastAsia"/>
          <w:color w:val="auto"/>
          <w:sz w:val="24"/>
          <w:szCs w:val="24"/>
          <w:highlight w:val="none"/>
          <w:lang w:val="en-US" w:eastAsia="zh-CN"/>
        </w:rPr>
        <w:t>（</w:t>
      </w:r>
      <w:r>
        <w:rPr>
          <w:rFonts w:hint="eastAsia" w:asciiTheme="majorEastAsia" w:hAnsiTheme="majorEastAsia" w:eastAsiaTheme="majorEastAsia" w:cstheme="majorEastAsia"/>
          <w:color w:val="auto"/>
          <w:kern w:val="2"/>
          <w:sz w:val="24"/>
          <w:szCs w:val="24"/>
          <w:highlight w:val="none"/>
          <w:lang w:val="en-US" w:eastAsia="zh-CN" w:bidi="ar-SA"/>
        </w:rPr>
        <w:t>20）包盖带牢固盖板卡口。</w:t>
      </w:r>
    </w:p>
    <w:p w14:paraId="5C98C99F">
      <w:pPr>
        <w:pStyle w:val="2"/>
        <w:pageBreakBefore w:val="0"/>
        <w:widowControl w:val="0"/>
        <w:kinsoku/>
        <w:wordWrap/>
        <w:overflowPunct/>
        <w:topLinePunct w:val="0"/>
        <w:autoSpaceDE/>
        <w:autoSpaceDN/>
        <w:bidi w:val="0"/>
        <w:adjustRightInd/>
        <w:snapToGrid/>
        <w:spacing w:before="0" w:after="0" w:line="440" w:lineRule="exact"/>
        <w:ind w:leftChars="0"/>
        <w:textAlignment w:val="auto"/>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4.便携式恶臭分析仪</w:t>
      </w:r>
    </w:p>
    <w:p w14:paraId="00BC073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jc w:val="both"/>
        <w:textAlignment w:val="auto"/>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1、设备基于紫外吸收法的技术原理，并结合先进的微处理技术，提供精准可靠的 nmol/mol~μmol/mol(ppb~ppm)级 O3 的测量分析；</w:t>
      </w:r>
    </w:p>
    <w:p w14:paraId="2E9D06D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jc w:val="both"/>
        <w:textAlignment w:val="auto"/>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2、采用紫外吸收法测量，灵敏度高，分析速度快，符合EPA标准；</w:t>
      </w:r>
    </w:p>
    <w:p w14:paraId="475C517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jc w:val="both"/>
        <w:textAlignment w:val="auto"/>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3、测量范围：(0~1) μmol/mol(ppm)，（可定制，最大可扩展至10ppm）；</w:t>
      </w:r>
    </w:p>
    <w:p w14:paraId="1893381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jc w:val="both"/>
        <w:textAlignment w:val="auto"/>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4、微处理器实现多功能操作；</w:t>
      </w:r>
    </w:p>
    <w:p w14:paraId="4A4D371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jc w:val="both"/>
        <w:textAlignment w:val="auto"/>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5、任务软件允许在操作过程中监测测试数据；</w:t>
      </w:r>
    </w:p>
    <w:p w14:paraId="336E60E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jc w:val="both"/>
        <w:textAlignment w:val="auto"/>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6、带报警功能的连续自检，及时发现仪器故障，保证臭氧测量数据的准确性；</w:t>
      </w:r>
    </w:p>
    <w:p w14:paraId="20686B4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jc w:val="both"/>
        <w:textAlignment w:val="auto"/>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7、光源光强衰减自检功能,可根据测量值自动调整紫外光源强度，保证臭氧测量浓度的准确性；</w:t>
      </w:r>
    </w:p>
    <w:p w14:paraId="5F95416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jc w:val="both"/>
        <w:textAlignment w:val="auto"/>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8、数字状态输出仪器工作参数，测量结果简单易懂；</w:t>
      </w:r>
    </w:p>
    <w:p w14:paraId="52FD143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jc w:val="both"/>
        <w:textAlignment w:val="auto"/>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9、自适应信号过滤技术优化响应时间，响应时间小于20秒；</w:t>
      </w:r>
    </w:p>
    <w:p w14:paraId="0BE77BA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jc w:val="both"/>
        <w:textAlignment w:val="auto"/>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10、具有温度补偿和压力补偿，保证测量数据的精度；</w:t>
      </w:r>
    </w:p>
    <w:p w14:paraId="2766559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jc w:val="both"/>
        <w:textAlignment w:val="auto"/>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11、触摸显示大屏，触摸灵敏，界面显示数据丰富，操作简单易学；</w:t>
      </w:r>
    </w:p>
    <w:p w14:paraId="3102CBA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jc w:val="both"/>
        <w:textAlignment w:val="auto"/>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12、大容量内存，自动存储历史数据；</w:t>
      </w:r>
    </w:p>
    <w:p w14:paraId="1E47338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jc w:val="both"/>
        <w:textAlignment w:val="auto"/>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13、量程：(0~1)μmol/mol(ppm)；</w:t>
      </w:r>
    </w:p>
    <w:p w14:paraId="6C1740C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jc w:val="both"/>
        <w:textAlignment w:val="auto"/>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14、浓度单位：nmol/mol(ppb),μmol/mol(ppm),μg/m3,mg/m3；</w:t>
      </w:r>
    </w:p>
    <w:p w14:paraId="498AB5B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jc w:val="both"/>
        <w:textAlignment w:val="auto"/>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15、零点噪声：≤0.5ppb（RMS）；</w:t>
      </w:r>
    </w:p>
    <w:p w14:paraId="57B0FA5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jc w:val="both"/>
        <w:textAlignment w:val="auto"/>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16、量程噪声：≤5ppb；</w:t>
      </w:r>
    </w:p>
    <w:p w14:paraId="602FAA5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jc w:val="both"/>
        <w:textAlignment w:val="auto"/>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17、检测下限：1nmol/mol(ppb)；</w:t>
      </w:r>
    </w:p>
    <w:p w14:paraId="2E246BE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jc w:val="both"/>
        <w:textAlignment w:val="auto"/>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18、零点漂移（24h）：≤5nmol/mol(ppb)；</w:t>
      </w:r>
    </w:p>
    <w:p w14:paraId="543692E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jc w:val="both"/>
        <w:textAlignment w:val="auto"/>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19、量程漂移：＜1%/天；</w:t>
      </w:r>
    </w:p>
    <w:p w14:paraId="0E2920E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jc w:val="both"/>
        <w:textAlignment w:val="auto"/>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20、线性度：＜1%F.S.；</w:t>
      </w:r>
    </w:p>
    <w:p w14:paraId="523804F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jc w:val="both"/>
        <w:textAlignment w:val="auto"/>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21、精度（重复性）：＜1%R.D；</w:t>
      </w:r>
    </w:p>
    <w:p w14:paraId="7E2B631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jc w:val="both"/>
        <w:textAlignment w:val="auto"/>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22、示值误差：±2%F.S；</w:t>
      </w:r>
    </w:p>
    <w:p w14:paraId="43679DE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jc w:val="both"/>
        <w:textAlignment w:val="auto"/>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23、响应时间：&lt;20s；</w:t>
      </w:r>
    </w:p>
    <w:p w14:paraId="4252D97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jc w:val="both"/>
        <w:textAlignment w:val="auto"/>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24、样气流量：(800±50)sccm；</w:t>
      </w:r>
    </w:p>
    <w:p w14:paraId="179A103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jc w:val="both"/>
        <w:textAlignment w:val="auto"/>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25、臭氧稳定工作时间：＜30min to 95%；</w:t>
      </w:r>
    </w:p>
    <w:p w14:paraId="10C0A06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jc w:val="both"/>
        <w:textAlignment w:val="auto"/>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26、工作温度范围：(0~40)℃；</w:t>
      </w:r>
    </w:p>
    <w:p w14:paraId="5319953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jc w:val="both"/>
        <w:textAlignment w:val="auto"/>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27、工作湿度范围：(0~95)%RH；</w:t>
      </w:r>
    </w:p>
    <w:p w14:paraId="2F7B8CD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jc w:val="both"/>
        <w:textAlignment w:val="auto"/>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28、重量：＜8.5kg；</w:t>
      </w:r>
    </w:p>
    <w:p w14:paraId="39BED90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jc w:val="both"/>
        <w:textAlignment w:val="auto"/>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29、供电电压：（220±22）VAC,(50±1)HZ；</w:t>
      </w:r>
    </w:p>
    <w:p w14:paraId="30D6C8B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jc w:val="both"/>
        <w:textAlignment w:val="auto"/>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30、配置要求：仪器主机 1台、充电器1个，圆形滤膜组件2盒，三脚架组件1套，聚四氟乙烯穿板卡套接头1套。</w:t>
      </w:r>
    </w:p>
    <w:p w14:paraId="51DFFB6C">
      <w:pPr>
        <w:pStyle w:val="2"/>
        <w:pageBreakBefore w:val="0"/>
        <w:widowControl w:val="0"/>
        <w:kinsoku/>
        <w:wordWrap/>
        <w:overflowPunct/>
        <w:topLinePunct w:val="0"/>
        <w:autoSpaceDE/>
        <w:autoSpaceDN/>
        <w:bidi w:val="0"/>
        <w:adjustRightInd/>
        <w:snapToGrid/>
        <w:spacing w:before="0" w:after="0" w:line="440" w:lineRule="exact"/>
        <w:ind w:leftChars="0"/>
        <w:textAlignment w:val="auto"/>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5.便携式噪声检测仪</w:t>
      </w:r>
    </w:p>
    <w:p w14:paraId="7226D95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0" w:firstLineChars="200"/>
        <w:jc w:val="both"/>
        <w:textAlignment w:val="auto"/>
        <w:rPr>
          <w:rFonts w:hint="eastAsia" w:asciiTheme="majorEastAsia" w:hAnsiTheme="majorEastAsia" w:eastAsiaTheme="majorEastAsia" w:cstheme="majorEastAsia"/>
          <w:color w:val="auto"/>
          <w:kern w:val="2"/>
          <w:sz w:val="24"/>
          <w:szCs w:val="24"/>
          <w:highlight w:val="none"/>
          <w:lang w:val="en-US" w:eastAsia="zh-CN" w:bidi="ar-SA"/>
        </w:rPr>
      </w:pPr>
      <w:r>
        <w:rPr>
          <w:rFonts w:hint="eastAsia" w:asciiTheme="majorEastAsia" w:hAnsiTheme="majorEastAsia" w:eastAsiaTheme="majorEastAsia" w:cstheme="majorEastAsia"/>
          <w:color w:val="auto"/>
          <w:kern w:val="2"/>
          <w:sz w:val="24"/>
          <w:szCs w:val="24"/>
          <w:highlight w:val="none"/>
          <w:lang w:val="en-US" w:eastAsia="zh-CN" w:bidi="ar-SA"/>
        </w:rPr>
        <w:t>（1）频率范围:12.5Hz~20kHz；</w:t>
      </w:r>
    </w:p>
    <w:p w14:paraId="0A15D2A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0" w:firstLineChars="200"/>
        <w:jc w:val="both"/>
        <w:textAlignment w:val="auto"/>
        <w:rPr>
          <w:rFonts w:hint="eastAsia" w:asciiTheme="majorEastAsia" w:hAnsiTheme="majorEastAsia" w:eastAsiaTheme="majorEastAsia" w:cstheme="majorEastAsia"/>
          <w:color w:val="auto"/>
          <w:kern w:val="2"/>
          <w:sz w:val="24"/>
          <w:szCs w:val="24"/>
          <w:highlight w:val="none"/>
          <w:lang w:val="en-US" w:eastAsia="zh-CN" w:bidi="ar-SA"/>
        </w:rPr>
      </w:pPr>
      <w:r>
        <w:rPr>
          <w:rFonts w:hint="eastAsia" w:asciiTheme="majorEastAsia" w:hAnsiTheme="majorEastAsia" w:eastAsiaTheme="majorEastAsia" w:cstheme="majorEastAsia"/>
          <w:color w:val="auto"/>
          <w:kern w:val="2"/>
          <w:sz w:val="24"/>
          <w:szCs w:val="24"/>
          <w:highlight w:val="none"/>
          <w:lang w:val="en-US" w:eastAsia="zh-CN" w:bidi="ar-SA"/>
        </w:rPr>
        <w:t>（2）线性测量范围:40dBA-130dBA；</w:t>
      </w:r>
    </w:p>
    <w:p w14:paraId="2F7D3AB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0" w:firstLineChars="200"/>
        <w:jc w:val="both"/>
        <w:textAlignment w:val="auto"/>
        <w:rPr>
          <w:rFonts w:hint="eastAsia" w:asciiTheme="majorEastAsia" w:hAnsiTheme="majorEastAsia" w:eastAsiaTheme="majorEastAsia" w:cstheme="majorEastAsia"/>
          <w:color w:val="auto"/>
          <w:kern w:val="2"/>
          <w:sz w:val="24"/>
          <w:szCs w:val="24"/>
          <w:highlight w:val="none"/>
          <w:lang w:val="en-US" w:eastAsia="zh-CN" w:bidi="ar-SA"/>
        </w:rPr>
      </w:pPr>
      <w:r>
        <w:rPr>
          <w:rFonts w:hint="eastAsia" w:asciiTheme="majorEastAsia" w:hAnsiTheme="majorEastAsia" w:eastAsiaTheme="majorEastAsia" w:cstheme="majorEastAsia"/>
          <w:color w:val="auto"/>
          <w:kern w:val="2"/>
          <w:sz w:val="24"/>
          <w:szCs w:val="24"/>
          <w:highlight w:val="none"/>
          <w:lang w:val="en-US" w:eastAsia="zh-CN" w:bidi="ar-SA"/>
        </w:rPr>
        <w:t>（3）外形尺寸:≥190x68x27；</w:t>
      </w:r>
    </w:p>
    <w:p w14:paraId="622F2F3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0" w:firstLineChars="200"/>
        <w:jc w:val="both"/>
        <w:textAlignment w:val="auto"/>
        <w:rPr>
          <w:rFonts w:hint="eastAsia" w:asciiTheme="majorEastAsia" w:hAnsiTheme="majorEastAsia" w:eastAsiaTheme="majorEastAsia" w:cstheme="majorEastAsia"/>
          <w:color w:val="auto"/>
          <w:kern w:val="2"/>
          <w:sz w:val="24"/>
          <w:szCs w:val="24"/>
          <w:highlight w:val="none"/>
          <w:lang w:val="en-US" w:eastAsia="zh-CN" w:bidi="ar-SA"/>
        </w:rPr>
      </w:pPr>
      <w:r>
        <w:rPr>
          <w:rFonts w:hint="eastAsia" w:asciiTheme="majorEastAsia" w:hAnsiTheme="majorEastAsia" w:eastAsiaTheme="majorEastAsia" w:cstheme="majorEastAsia"/>
          <w:color w:val="auto"/>
          <w:kern w:val="2"/>
          <w:sz w:val="24"/>
          <w:szCs w:val="24"/>
          <w:highlight w:val="none"/>
          <w:lang w:val="en-US" w:eastAsia="zh-CN" w:bidi="ar-SA"/>
        </w:rPr>
        <w:t>（4）频率计权:并行(同时)A；</w:t>
      </w:r>
    </w:p>
    <w:p w14:paraId="7282D9D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0" w:firstLineChars="200"/>
        <w:jc w:val="both"/>
        <w:textAlignment w:val="auto"/>
        <w:rPr>
          <w:rFonts w:hint="eastAsia" w:asciiTheme="majorEastAsia" w:hAnsiTheme="majorEastAsia" w:eastAsiaTheme="majorEastAsia" w:cstheme="majorEastAsia"/>
          <w:color w:val="auto"/>
          <w:kern w:val="2"/>
          <w:sz w:val="24"/>
          <w:szCs w:val="24"/>
          <w:highlight w:val="none"/>
          <w:lang w:val="en-US" w:eastAsia="zh-CN" w:bidi="ar-SA"/>
        </w:rPr>
      </w:pPr>
      <w:r>
        <w:rPr>
          <w:rFonts w:hint="eastAsia" w:asciiTheme="majorEastAsia" w:hAnsiTheme="majorEastAsia" w:eastAsiaTheme="majorEastAsia" w:cstheme="majorEastAsia"/>
          <w:color w:val="auto"/>
          <w:kern w:val="2"/>
          <w:sz w:val="24"/>
          <w:szCs w:val="24"/>
          <w:highlight w:val="none"/>
          <w:lang w:val="en-US" w:eastAsia="zh-CN" w:bidi="ar-SA"/>
        </w:rPr>
        <w:t>（5）时间计权:并行(同时)F、S；</w:t>
      </w:r>
    </w:p>
    <w:p w14:paraId="6F5F7D8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0" w:firstLineChars="200"/>
        <w:jc w:val="both"/>
        <w:textAlignment w:val="auto"/>
        <w:rPr>
          <w:rFonts w:hint="eastAsia" w:asciiTheme="majorEastAsia" w:hAnsiTheme="majorEastAsia" w:eastAsiaTheme="majorEastAsia" w:cstheme="majorEastAsia"/>
          <w:color w:val="auto"/>
          <w:kern w:val="2"/>
          <w:sz w:val="24"/>
          <w:szCs w:val="24"/>
          <w:highlight w:val="none"/>
          <w:lang w:val="en-US" w:eastAsia="zh-CN" w:bidi="ar-SA"/>
        </w:rPr>
      </w:pPr>
      <w:r>
        <w:rPr>
          <w:rFonts w:hint="eastAsia" w:asciiTheme="majorEastAsia" w:hAnsiTheme="majorEastAsia" w:eastAsiaTheme="majorEastAsia" w:cstheme="majorEastAsia"/>
          <w:color w:val="auto"/>
          <w:kern w:val="2"/>
          <w:sz w:val="24"/>
          <w:szCs w:val="24"/>
          <w:highlight w:val="none"/>
          <w:lang w:val="en-US" w:eastAsia="zh-CN" w:bidi="ar-SA"/>
        </w:rPr>
        <w:t>（6）工作温度:≥-10℃~50℃；</w:t>
      </w:r>
    </w:p>
    <w:p w14:paraId="4CB44CA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0" w:firstLineChars="200"/>
        <w:jc w:val="both"/>
        <w:textAlignment w:val="auto"/>
        <w:rPr>
          <w:rFonts w:hint="eastAsia" w:asciiTheme="majorEastAsia" w:hAnsiTheme="majorEastAsia" w:eastAsiaTheme="majorEastAsia" w:cstheme="majorEastAsia"/>
          <w:color w:val="auto"/>
          <w:kern w:val="2"/>
          <w:sz w:val="24"/>
          <w:szCs w:val="24"/>
          <w:highlight w:val="none"/>
          <w:lang w:val="en-US" w:eastAsia="zh-CN" w:bidi="ar-SA"/>
        </w:rPr>
      </w:pPr>
      <w:r>
        <w:rPr>
          <w:rFonts w:hint="eastAsia" w:asciiTheme="majorEastAsia" w:hAnsiTheme="majorEastAsia" w:eastAsiaTheme="majorEastAsia" w:cstheme="majorEastAsia"/>
          <w:color w:val="auto"/>
          <w:kern w:val="2"/>
          <w:sz w:val="24"/>
          <w:szCs w:val="24"/>
          <w:highlight w:val="none"/>
          <w:lang w:val="en-US" w:eastAsia="zh-CN" w:bidi="ar-SA"/>
        </w:rPr>
        <w:t>（7）显示器:三位半LCD；</w:t>
      </w:r>
    </w:p>
    <w:p w14:paraId="5231588D">
      <w:pPr>
        <w:pStyle w:val="2"/>
        <w:pageBreakBefore w:val="0"/>
        <w:widowControl w:val="0"/>
        <w:kinsoku/>
        <w:wordWrap/>
        <w:overflowPunct/>
        <w:topLinePunct w:val="0"/>
        <w:autoSpaceDE/>
        <w:autoSpaceDN/>
        <w:bidi w:val="0"/>
        <w:adjustRightInd/>
        <w:snapToGrid/>
        <w:spacing w:before="0" w:after="0" w:line="440" w:lineRule="exact"/>
        <w:textAlignment w:val="auto"/>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6.OBD环保检测终端</w:t>
      </w:r>
    </w:p>
    <w:p w14:paraId="18F3510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0" w:firstLineChars="200"/>
        <w:jc w:val="both"/>
        <w:textAlignment w:val="auto"/>
        <w:rPr>
          <w:rFonts w:hint="eastAsia" w:asciiTheme="majorEastAsia" w:hAnsiTheme="majorEastAsia" w:eastAsiaTheme="majorEastAsia" w:cstheme="majorEastAsia"/>
          <w:color w:val="auto"/>
          <w:kern w:val="2"/>
          <w:sz w:val="24"/>
          <w:szCs w:val="24"/>
          <w:highlight w:val="none"/>
          <w:lang w:val="en-US" w:eastAsia="zh-CN" w:bidi="ar-SA"/>
        </w:rPr>
      </w:pPr>
      <w:r>
        <w:rPr>
          <w:rFonts w:hint="eastAsia" w:asciiTheme="majorEastAsia" w:hAnsiTheme="majorEastAsia" w:eastAsiaTheme="majorEastAsia" w:cstheme="majorEastAsia"/>
          <w:color w:val="auto"/>
          <w:kern w:val="2"/>
          <w:sz w:val="24"/>
          <w:szCs w:val="24"/>
          <w:highlight w:val="none"/>
          <w:lang w:val="en-US" w:eastAsia="zh-CN" w:bidi="ar-SA"/>
        </w:rPr>
        <w:t>（1）满足ISO15031-4和 SAE J1978中规定的相关功能性技术要求，至少支持J1939，J1979、ISO9141-2、SAE J1850、ISO14230-4、ISO15765-4、ISO27145等通信协议。</w:t>
      </w:r>
    </w:p>
    <w:p w14:paraId="1FDDAC3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0" w:firstLineChars="200"/>
        <w:jc w:val="both"/>
        <w:textAlignment w:val="auto"/>
        <w:rPr>
          <w:rFonts w:hint="eastAsia" w:asciiTheme="majorEastAsia" w:hAnsiTheme="majorEastAsia" w:eastAsiaTheme="majorEastAsia" w:cstheme="majorEastAsia"/>
          <w:color w:val="auto"/>
          <w:kern w:val="2"/>
          <w:sz w:val="24"/>
          <w:szCs w:val="24"/>
          <w:highlight w:val="none"/>
          <w:lang w:val="en-US" w:eastAsia="zh-CN" w:bidi="ar-SA"/>
        </w:rPr>
      </w:pPr>
      <w:r>
        <w:rPr>
          <w:rFonts w:hint="eastAsia" w:asciiTheme="majorEastAsia" w:hAnsiTheme="majorEastAsia" w:eastAsiaTheme="majorEastAsia" w:cstheme="majorEastAsia"/>
          <w:color w:val="auto"/>
          <w:kern w:val="2"/>
          <w:sz w:val="24"/>
          <w:szCs w:val="24"/>
          <w:highlight w:val="none"/>
          <w:lang w:val="en-US" w:eastAsia="zh-CN" w:bidi="ar-SA"/>
        </w:rPr>
        <w:t>（2）能够与车辆OBD系统建立通信，提供OBD系统诊断服务用的通信连接接口，与车辆通信的接口满足ISO15031-3、SAE J1962和ISO27145的规定。</w:t>
      </w:r>
    </w:p>
    <w:p w14:paraId="5D9D5DC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0" w:firstLineChars="200"/>
        <w:jc w:val="both"/>
        <w:textAlignment w:val="auto"/>
        <w:rPr>
          <w:rFonts w:hint="eastAsia" w:asciiTheme="majorEastAsia" w:hAnsiTheme="majorEastAsia" w:eastAsiaTheme="majorEastAsia" w:cstheme="majorEastAsia"/>
          <w:color w:val="auto"/>
          <w:kern w:val="2"/>
          <w:sz w:val="24"/>
          <w:szCs w:val="24"/>
          <w:highlight w:val="none"/>
          <w:lang w:val="en-US" w:eastAsia="zh-CN" w:bidi="ar-SA"/>
        </w:rPr>
      </w:pPr>
      <w:r>
        <w:rPr>
          <w:rFonts w:hint="eastAsia" w:asciiTheme="majorEastAsia" w:hAnsiTheme="majorEastAsia" w:eastAsiaTheme="majorEastAsia" w:cstheme="majorEastAsia"/>
          <w:color w:val="auto"/>
          <w:kern w:val="2"/>
          <w:sz w:val="24"/>
          <w:szCs w:val="24"/>
          <w:highlight w:val="none"/>
          <w:lang w:val="en-US" w:eastAsia="zh-CN" w:bidi="ar-SA"/>
        </w:rPr>
        <w:t>（3）OBD 诊断仪的信息结构符合ISO 15031-5、ISO 27145中的信息结构和ISO15031-6诊断故障码要求。</w:t>
      </w:r>
    </w:p>
    <w:p w14:paraId="397DD6C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0" w:firstLineChars="200"/>
        <w:jc w:val="both"/>
        <w:textAlignment w:val="auto"/>
        <w:rPr>
          <w:rFonts w:hint="eastAsia" w:asciiTheme="majorEastAsia" w:hAnsiTheme="majorEastAsia" w:eastAsiaTheme="majorEastAsia" w:cstheme="majorEastAsia"/>
          <w:color w:val="auto"/>
          <w:kern w:val="2"/>
          <w:sz w:val="24"/>
          <w:szCs w:val="24"/>
          <w:highlight w:val="none"/>
          <w:lang w:val="en-US" w:eastAsia="zh-CN" w:bidi="ar-SA"/>
        </w:rPr>
      </w:pPr>
      <w:r>
        <w:rPr>
          <w:rFonts w:hint="eastAsia" w:asciiTheme="majorEastAsia" w:hAnsiTheme="majorEastAsia" w:eastAsiaTheme="majorEastAsia" w:cstheme="majorEastAsia"/>
          <w:color w:val="auto"/>
          <w:kern w:val="2"/>
          <w:sz w:val="24"/>
          <w:szCs w:val="24"/>
          <w:highlight w:val="none"/>
          <w:lang w:val="en-US" w:eastAsia="zh-CN" w:bidi="ar-SA"/>
        </w:rPr>
        <w:t>（4）能连续获得、转换和显示与车辆排放相关的OBD故障代码，按照ISO15031-6中的描述显示故障代码及故障信息。</w:t>
      </w:r>
    </w:p>
    <w:p w14:paraId="2FC8B94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0" w:firstLineChars="200"/>
        <w:jc w:val="both"/>
        <w:textAlignment w:val="auto"/>
        <w:rPr>
          <w:rFonts w:hint="eastAsia" w:asciiTheme="majorEastAsia" w:hAnsiTheme="majorEastAsia" w:eastAsiaTheme="majorEastAsia" w:cstheme="majorEastAsia"/>
          <w:color w:val="auto"/>
          <w:kern w:val="2"/>
          <w:sz w:val="24"/>
          <w:szCs w:val="24"/>
          <w:highlight w:val="none"/>
          <w:lang w:val="en-US" w:eastAsia="zh-CN" w:bidi="ar-SA"/>
        </w:rPr>
      </w:pPr>
      <w:r>
        <w:rPr>
          <w:rFonts w:hint="eastAsia" w:asciiTheme="majorEastAsia" w:hAnsiTheme="majorEastAsia" w:eastAsiaTheme="majorEastAsia" w:cstheme="majorEastAsia"/>
          <w:color w:val="auto"/>
          <w:kern w:val="2"/>
          <w:sz w:val="24"/>
          <w:szCs w:val="24"/>
          <w:highlight w:val="none"/>
          <w:lang w:val="en-US" w:eastAsia="zh-CN" w:bidi="ar-SA"/>
        </w:rPr>
        <w:t>（5）能够获取并显示SAE J1979规定的各部件/系统的准备就绪状态信息，对诊断项目完成情况按如下方式描述：支持的诊断项目完成情况应描述为完成或未完成，不支持的诊断项目完成情况应描述为不适用。</w:t>
      </w:r>
    </w:p>
    <w:p w14:paraId="018FCEB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0" w:firstLineChars="200"/>
        <w:jc w:val="both"/>
        <w:textAlignment w:val="auto"/>
        <w:rPr>
          <w:rFonts w:hint="eastAsia" w:asciiTheme="majorEastAsia" w:hAnsiTheme="majorEastAsia" w:eastAsiaTheme="majorEastAsia" w:cstheme="majorEastAsia"/>
          <w:color w:val="auto"/>
          <w:kern w:val="2"/>
          <w:sz w:val="24"/>
          <w:szCs w:val="24"/>
          <w:highlight w:val="none"/>
          <w:lang w:val="en-US" w:eastAsia="zh-CN" w:bidi="ar-SA"/>
        </w:rPr>
      </w:pPr>
      <w:r>
        <w:rPr>
          <w:rFonts w:hint="eastAsia" w:asciiTheme="majorEastAsia" w:hAnsiTheme="majorEastAsia" w:eastAsiaTheme="majorEastAsia" w:cstheme="majorEastAsia"/>
          <w:color w:val="auto"/>
          <w:kern w:val="2"/>
          <w:sz w:val="24"/>
          <w:szCs w:val="24"/>
          <w:highlight w:val="none"/>
          <w:lang w:val="en-US" w:eastAsia="zh-CN" w:bidi="ar-SA"/>
        </w:rPr>
        <w:t>（6）能获取并显示当前数据流信息。</w:t>
      </w:r>
    </w:p>
    <w:p w14:paraId="63DA87B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0" w:firstLineChars="200"/>
        <w:jc w:val="both"/>
        <w:textAlignment w:val="auto"/>
        <w:rPr>
          <w:rFonts w:hint="eastAsia" w:asciiTheme="majorEastAsia" w:hAnsiTheme="majorEastAsia" w:eastAsiaTheme="majorEastAsia" w:cstheme="majorEastAsia"/>
          <w:color w:val="auto"/>
          <w:kern w:val="2"/>
          <w:sz w:val="24"/>
          <w:szCs w:val="24"/>
          <w:highlight w:val="none"/>
          <w:lang w:val="en-US" w:eastAsia="zh-CN" w:bidi="ar-SA"/>
        </w:rPr>
      </w:pPr>
      <w:r>
        <w:rPr>
          <w:rFonts w:hint="eastAsia" w:asciiTheme="majorEastAsia" w:hAnsiTheme="majorEastAsia" w:eastAsiaTheme="majorEastAsia" w:cstheme="majorEastAsia"/>
          <w:color w:val="auto"/>
          <w:kern w:val="2"/>
          <w:sz w:val="24"/>
          <w:szCs w:val="24"/>
          <w:highlight w:val="none"/>
          <w:lang w:val="en-US" w:eastAsia="zh-CN" w:bidi="ar-SA"/>
        </w:rPr>
        <w:t>（7）能获取并显示产生故障存储的冻结帧数据及故障指示器状态。</w:t>
      </w:r>
    </w:p>
    <w:p w14:paraId="11DDCE2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0" w:firstLineChars="200"/>
        <w:jc w:val="both"/>
        <w:textAlignment w:val="auto"/>
        <w:rPr>
          <w:rFonts w:hint="eastAsia" w:asciiTheme="majorEastAsia" w:hAnsiTheme="majorEastAsia" w:eastAsiaTheme="majorEastAsia" w:cstheme="majorEastAsia"/>
          <w:color w:val="auto"/>
          <w:kern w:val="2"/>
          <w:sz w:val="24"/>
          <w:szCs w:val="24"/>
          <w:highlight w:val="none"/>
          <w:lang w:val="en-US" w:eastAsia="zh-CN" w:bidi="ar-SA"/>
        </w:rPr>
      </w:pPr>
      <w:r>
        <w:rPr>
          <w:rFonts w:hint="eastAsia" w:asciiTheme="majorEastAsia" w:hAnsiTheme="majorEastAsia" w:eastAsiaTheme="majorEastAsia" w:cstheme="majorEastAsia"/>
          <w:color w:val="auto"/>
          <w:kern w:val="2"/>
          <w:sz w:val="24"/>
          <w:szCs w:val="24"/>
          <w:highlight w:val="none"/>
          <w:lang w:val="en-US" w:eastAsia="zh-CN" w:bidi="ar-SA"/>
        </w:rPr>
        <w:t>（8）能够获取车辆基本信息，包括车辆 VIN、CALID、CVN（如果适用）等。</w:t>
      </w:r>
    </w:p>
    <w:p w14:paraId="5991EEB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0" w:firstLineChars="200"/>
        <w:jc w:val="both"/>
        <w:textAlignment w:val="auto"/>
        <w:rPr>
          <w:rFonts w:hint="eastAsia" w:asciiTheme="majorEastAsia" w:hAnsiTheme="majorEastAsia" w:eastAsiaTheme="majorEastAsia" w:cstheme="majorEastAsia"/>
          <w:color w:val="auto"/>
          <w:kern w:val="2"/>
          <w:sz w:val="24"/>
          <w:szCs w:val="24"/>
          <w:highlight w:val="none"/>
          <w:lang w:val="en-US" w:eastAsia="zh-CN" w:bidi="ar-SA"/>
        </w:rPr>
      </w:pPr>
      <w:r>
        <w:rPr>
          <w:rFonts w:hint="eastAsia" w:asciiTheme="majorEastAsia" w:hAnsiTheme="majorEastAsia" w:eastAsiaTheme="majorEastAsia" w:cstheme="majorEastAsia"/>
          <w:color w:val="auto"/>
          <w:kern w:val="2"/>
          <w:sz w:val="24"/>
          <w:szCs w:val="24"/>
          <w:highlight w:val="none"/>
          <w:lang w:val="en-US" w:eastAsia="zh-CN" w:bidi="ar-SA"/>
        </w:rPr>
        <w:t>（9）根据ISO15031-5、ISO27145 的要求，获取并显示OBD系统与排放有关的测试参数和结果。</w:t>
      </w:r>
    </w:p>
    <w:p w14:paraId="5BCEAC1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0" w:firstLineChars="200"/>
        <w:jc w:val="both"/>
        <w:textAlignment w:val="auto"/>
        <w:rPr>
          <w:rFonts w:hint="eastAsia" w:asciiTheme="majorEastAsia" w:hAnsiTheme="majorEastAsia" w:eastAsiaTheme="majorEastAsia" w:cstheme="majorEastAsia"/>
          <w:color w:val="auto"/>
          <w:kern w:val="2"/>
          <w:sz w:val="24"/>
          <w:szCs w:val="24"/>
          <w:highlight w:val="none"/>
          <w:lang w:val="en-US" w:eastAsia="zh-CN" w:bidi="ar-SA"/>
        </w:rPr>
      </w:pPr>
      <w:r>
        <w:rPr>
          <w:rFonts w:hint="eastAsia" w:asciiTheme="majorEastAsia" w:hAnsiTheme="majorEastAsia" w:eastAsiaTheme="majorEastAsia" w:cstheme="majorEastAsia"/>
          <w:color w:val="auto"/>
          <w:kern w:val="2"/>
          <w:sz w:val="24"/>
          <w:szCs w:val="24"/>
          <w:highlight w:val="none"/>
          <w:lang w:val="en-US" w:eastAsia="zh-CN" w:bidi="ar-SA"/>
        </w:rPr>
        <w:t>（10）OBD诊断仪应能适用于满足GB18352.3、GB18352.5、GB18352.6、GB17691-2018标准各类轻重型车，不易损坏，并确保使用者获得正确有效的OBD系统信息。</w:t>
      </w:r>
    </w:p>
    <w:p w14:paraId="5103CDD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0" w:firstLineChars="200"/>
        <w:jc w:val="both"/>
        <w:textAlignment w:val="auto"/>
        <w:rPr>
          <w:rFonts w:hint="eastAsia" w:asciiTheme="majorEastAsia" w:hAnsiTheme="majorEastAsia" w:eastAsiaTheme="majorEastAsia" w:cstheme="majorEastAsia"/>
          <w:color w:val="auto"/>
          <w:kern w:val="2"/>
          <w:sz w:val="24"/>
          <w:szCs w:val="24"/>
          <w:highlight w:val="none"/>
          <w:lang w:val="en-US" w:eastAsia="zh-CN" w:bidi="ar-SA"/>
        </w:rPr>
      </w:pPr>
      <w:r>
        <w:rPr>
          <w:rFonts w:hint="eastAsia" w:asciiTheme="majorEastAsia" w:hAnsiTheme="majorEastAsia" w:eastAsiaTheme="majorEastAsia" w:cstheme="majorEastAsia"/>
          <w:color w:val="auto"/>
          <w:kern w:val="2"/>
          <w:sz w:val="24"/>
          <w:szCs w:val="24"/>
          <w:highlight w:val="none"/>
          <w:lang w:val="en-US" w:eastAsia="zh-CN" w:bidi="ar-SA"/>
        </w:rPr>
        <w:t>（11）用于环保检查的诊断仪不可具有清除OBD相关故障代码、冻结祯数据， 以及发生 MIL 灯点亮后的行驶里程等相关数据。</w:t>
      </w:r>
    </w:p>
    <w:p w14:paraId="35A11CD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0" w:firstLineChars="200"/>
        <w:jc w:val="both"/>
        <w:textAlignment w:val="auto"/>
        <w:rPr>
          <w:rFonts w:hint="eastAsia" w:asciiTheme="majorEastAsia" w:hAnsiTheme="majorEastAsia" w:eastAsiaTheme="majorEastAsia" w:cstheme="majorEastAsia"/>
          <w:b w:val="0"/>
          <w:bCs w:val="0"/>
          <w:color w:val="auto"/>
          <w:kern w:val="2"/>
          <w:sz w:val="24"/>
          <w:szCs w:val="24"/>
          <w:highlight w:val="none"/>
          <w:lang w:val="en-US" w:eastAsia="zh-CN" w:bidi="ar-SA"/>
        </w:rPr>
      </w:pPr>
      <w:r>
        <w:rPr>
          <w:rFonts w:hint="eastAsia" w:asciiTheme="majorEastAsia" w:hAnsiTheme="majorEastAsia" w:eastAsiaTheme="majorEastAsia" w:cstheme="majorEastAsia"/>
          <w:color w:val="auto"/>
          <w:kern w:val="2"/>
          <w:sz w:val="24"/>
          <w:szCs w:val="24"/>
          <w:highlight w:val="none"/>
          <w:lang w:val="en-US" w:eastAsia="zh-CN" w:bidi="ar-SA"/>
        </w:rPr>
        <w:t>（</w:t>
      </w:r>
      <w:r>
        <w:rPr>
          <w:rFonts w:hint="eastAsia" w:asciiTheme="majorEastAsia" w:hAnsiTheme="majorEastAsia" w:eastAsiaTheme="majorEastAsia" w:cstheme="majorEastAsia"/>
          <w:b w:val="0"/>
          <w:bCs w:val="0"/>
          <w:color w:val="auto"/>
          <w:kern w:val="2"/>
          <w:sz w:val="24"/>
          <w:szCs w:val="24"/>
          <w:highlight w:val="none"/>
          <w:lang w:val="en-US" w:eastAsia="zh-CN" w:bidi="ar-SA"/>
        </w:rPr>
        <w:t>12）</w:t>
      </w:r>
      <w:r>
        <w:rPr>
          <w:rFonts w:hint="eastAsia" w:asciiTheme="majorEastAsia" w:hAnsiTheme="majorEastAsia" w:eastAsiaTheme="majorEastAsia" w:cstheme="majorEastAsia"/>
          <w:color w:val="auto"/>
          <w:kern w:val="2"/>
          <w:sz w:val="24"/>
          <w:szCs w:val="24"/>
          <w:highlight w:val="none"/>
          <w:lang w:val="en-US" w:eastAsia="zh-CN" w:bidi="ar-SA"/>
        </w:rPr>
        <w:t>具有自动传输数据的功能，所传输的数据包括但不限于：受检车辆信息（包括车牌号码、车辆VIN码、CALID、CVN等）、与排放相关的故障代码、各零部件诊断就绪状态、各零部件或系统的IUPR分子和分存储的冻结帧数据、排放检测过程中</w:t>
      </w:r>
      <w:r>
        <w:rPr>
          <w:rFonts w:hint="eastAsia" w:asciiTheme="majorEastAsia" w:hAnsiTheme="majorEastAsia" w:eastAsiaTheme="majorEastAsia" w:cstheme="majorEastAsia"/>
          <w:b w:val="0"/>
          <w:bCs w:val="0"/>
          <w:color w:val="auto"/>
          <w:kern w:val="2"/>
          <w:sz w:val="24"/>
          <w:szCs w:val="24"/>
          <w:highlight w:val="none"/>
          <w:lang w:val="en-US" w:eastAsia="zh-CN" w:bidi="ar-SA"/>
        </w:rPr>
        <w:t>的相关数据流等，应在60s的时间内完成数据传输。</w:t>
      </w:r>
    </w:p>
    <w:p w14:paraId="27D721A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0" w:firstLineChars="200"/>
        <w:jc w:val="both"/>
        <w:textAlignment w:val="auto"/>
        <w:rPr>
          <w:rFonts w:hint="eastAsia" w:asciiTheme="majorEastAsia" w:hAnsiTheme="majorEastAsia" w:eastAsiaTheme="majorEastAsia" w:cstheme="majorEastAsia"/>
          <w:b w:val="0"/>
          <w:bCs w:val="0"/>
          <w:color w:val="auto"/>
          <w:kern w:val="2"/>
          <w:sz w:val="24"/>
          <w:szCs w:val="24"/>
          <w:highlight w:val="none"/>
          <w:lang w:val="en-US" w:eastAsia="zh-CN" w:bidi="ar-SA"/>
        </w:rPr>
      </w:pPr>
      <w:r>
        <w:rPr>
          <w:rFonts w:hint="eastAsia" w:asciiTheme="majorEastAsia" w:hAnsiTheme="majorEastAsia" w:eastAsiaTheme="majorEastAsia" w:cstheme="majorEastAsia"/>
          <w:color w:val="auto"/>
          <w:kern w:val="2"/>
          <w:sz w:val="24"/>
          <w:szCs w:val="24"/>
          <w:highlight w:val="none"/>
          <w:lang w:val="en-US" w:eastAsia="zh-CN" w:bidi="ar-SA"/>
        </w:rPr>
        <w:t>（</w:t>
      </w:r>
      <w:r>
        <w:rPr>
          <w:rFonts w:hint="eastAsia" w:asciiTheme="majorEastAsia" w:hAnsiTheme="majorEastAsia" w:eastAsiaTheme="majorEastAsia" w:cstheme="majorEastAsia"/>
          <w:b w:val="0"/>
          <w:bCs w:val="0"/>
          <w:color w:val="auto"/>
          <w:kern w:val="2"/>
          <w:sz w:val="24"/>
          <w:szCs w:val="24"/>
          <w:highlight w:val="none"/>
          <w:lang w:val="en-US" w:eastAsia="zh-CN" w:bidi="ar-SA"/>
        </w:rPr>
        <w:t>13）OBD诊断仪在排放试验结束后自动传输故障诊断结果，包括故障代码、冻结帧数据、故障后的行驶里程等。数据传输过程和结束后，都应进行提示。</w:t>
      </w:r>
    </w:p>
    <w:p w14:paraId="332FA81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0" w:firstLineChars="200"/>
        <w:jc w:val="both"/>
        <w:textAlignment w:val="auto"/>
        <w:rPr>
          <w:rFonts w:hint="eastAsia" w:asciiTheme="majorEastAsia" w:hAnsiTheme="majorEastAsia" w:eastAsiaTheme="majorEastAsia" w:cstheme="majorEastAsia"/>
          <w:b w:val="0"/>
          <w:bCs w:val="0"/>
          <w:color w:val="auto"/>
          <w:kern w:val="2"/>
          <w:sz w:val="24"/>
          <w:szCs w:val="24"/>
          <w:highlight w:val="none"/>
          <w:lang w:val="en-US" w:eastAsia="zh-CN" w:bidi="ar-SA"/>
        </w:rPr>
      </w:pPr>
      <w:r>
        <w:rPr>
          <w:rFonts w:hint="eastAsia" w:asciiTheme="majorEastAsia" w:hAnsiTheme="majorEastAsia" w:eastAsiaTheme="majorEastAsia" w:cstheme="majorEastAsia"/>
          <w:color w:val="auto"/>
          <w:kern w:val="2"/>
          <w:sz w:val="24"/>
          <w:szCs w:val="24"/>
          <w:highlight w:val="none"/>
          <w:lang w:val="en-US" w:eastAsia="zh-CN" w:bidi="ar-SA"/>
        </w:rPr>
        <w:t>（</w:t>
      </w:r>
      <w:r>
        <w:rPr>
          <w:rFonts w:hint="eastAsia" w:asciiTheme="majorEastAsia" w:hAnsiTheme="majorEastAsia" w:eastAsiaTheme="majorEastAsia" w:cstheme="majorEastAsia"/>
          <w:b w:val="0"/>
          <w:bCs w:val="0"/>
          <w:color w:val="auto"/>
          <w:kern w:val="2"/>
          <w:sz w:val="24"/>
          <w:szCs w:val="24"/>
          <w:highlight w:val="none"/>
          <w:lang w:val="en-US" w:eastAsia="zh-CN" w:bidi="ar-SA"/>
        </w:rPr>
        <w:t>14）诊断的参数包括：发动机转速、冷却液温度、车辆速度、进气歧管压力、进气温度、空气流速、节气门位置、氧传感器电压、发动机转矩Nm、燃油压力、油门位置、发动机燃油流量、发动机进气流量、故障状态、再生情况、实际档位、期望档位、燃料消耗量等。</w:t>
      </w:r>
    </w:p>
    <w:p w14:paraId="6DCAEFF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0" w:firstLineChars="200"/>
        <w:jc w:val="both"/>
        <w:textAlignment w:val="auto"/>
        <w:rPr>
          <w:rFonts w:hint="eastAsia" w:asciiTheme="majorEastAsia" w:hAnsiTheme="majorEastAsia" w:eastAsiaTheme="majorEastAsia" w:cstheme="majorEastAsia"/>
          <w:b w:val="0"/>
          <w:bCs w:val="0"/>
          <w:color w:val="auto"/>
          <w:kern w:val="2"/>
          <w:sz w:val="24"/>
          <w:szCs w:val="24"/>
          <w:highlight w:val="none"/>
          <w:lang w:val="en-US" w:eastAsia="zh-CN" w:bidi="ar-SA"/>
        </w:rPr>
      </w:pPr>
      <w:r>
        <w:rPr>
          <w:rFonts w:hint="eastAsia" w:asciiTheme="majorEastAsia" w:hAnsiTheme="majorEastAsia" w:eastAsiaTheme="majorEastAsia" w:cstheme="majorEastAsia"/>
          <w:color w:val="auto"/>
          <w:kern w:val="2"/>
          <w:sz w:val="24"/>
          <w:szCs w:val="24"/>
          <w:highlight w:val="none"/>
          <w:lang w:val="en-US" w:eastAsia="zh-CN" w:bidi="ar-SA"/>
        </w:rPr>
        <w:t>（</w:t>
      </w:r>
      <w:r>
        <w:rPr>
          <w:rFonts w:hint="eastAsia" w:asciiTheme="majorEastAsia" w:hAnsiTheme="majorEastAsia" w:eastAsiaTheme="majorEastAsia" w:cstheme="majorEastAsia"/>
          <w:b w:val="0"/>
          <w:bCs w:val="0"/>
          <w:color w:val="auto"/>
          <w:kern w:val="2"/>
          <w:sz w:val="24"/>
          <w:szCs w:val="24"/>
          <w:highlight w:val="none"/>
          <w:lang w:val="en-US" w:eastAsia="zh-CN" w:bidi="ar-SA"/>
        </w:rPr>
        <w:t>15）读取当前车辆信息（车辆VIN号码、软件标定识别号码、汽车型式核准时OBD所能达到的要求等信息）。</w:t>
      </w:r>
    </w:p>
    <w:p w14:paraId="4AF6B74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0" w:firstLineChars="200"/>
        <w:jc w:val="both"/>
        <w:textAlignment w:val="auto"/>
        <w:rPr>
          <w:rFonts w:hint="eastAsia" w:asciiTheme="majorEastAsia" w:hAnsiTheme="majorEastAsia" w:eastAsiaTheme="majorEastAsia" w:cstheme="majorEastAsia"/>
          <w:b w:val="0"/>
          <w:bCs w:val="0"/>
          <w:color w:val="auto"/>
          <w:kern w:val="2"/>
          <w:sz w:val="24"/>
          <w:szCs w:val="24"/>
          <w:highlight w:val="none"/>
          <w:lang w:val="en-US" w:eastAsia="zh-CN" w:bidi="ar-SA"/>
        </w:rPr>
      </w:pPr>
      <w:r>
        <w:rPr>
          <w:rFonts w:hint="eastAsia" w:asciiTheme="majorEastAsia" w:hAnsiTheme="majorEastAsia" w:eastAsiaTheme="majorEastAsia" w:cstheme="majorEastAsia"/>
          <w:color w:val="auto"/>
          <w:kern w:val="2"/>
          <w:sz w:val="24"/>
          <w:szCs w:val="24"/>
          <w:highlight w:val="none"/>
          <w:lang w:val="en-US" w:eastAsia="zh-CN" w:bidi="ar-SA"/>
        </w:rPr>
        <w:t>（</w:t>
      </w:r>
      <w:r>
        <w:rPr>
          <w:rFonts w:hint="eastAsia" w:asciiTheme="majorEastAsia" w:hAnsiTheme="majorEastAsia" w:eastAsiaTheme="majorEastAsia" w:cstheme="majorEastAsia"/>
          <w:b w:val="0"/>
          <w:bCs w:val="0"/>
          <w:color w:val="auto"/>
          <w:kern w:val="2"/>
          <w:sz w:val="24"/>
          <w:szCs w:val="24"/>
          <w:highlight w:val="none"/>
          <w:lang w:val="en-US" w:eastAsia="zh-CN" w:bidi="ar-SA"/>
        </w:rPr>
        <w:t>16）读取当前动力系统诊断数据（负荷计算测试能读取当前动力系统诊断数据（负荷计算机转速、车速等信息）。</w:t>
      </w:r>
    </w:p>
    <w:p w14:paraId="7C049EF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0" w:firstLineChars="200"/>
        <w:jc w:val="both"/>
        <w:textAlignment w:val="auto"/>
        <w:rPr>
          <w:rFonts w:hint="eastAsia" w:asciiTheme="majorEastAsia" w:hAnsiTheme="majorEastAsia" w:eastAsiaTheme="majorEastAsia" w:cstheme="majorEastAsia"/>
          <w:b w:val="0"/>
          <w:bCs w:val="0"/>
          <w:color w:val="auto"/>
          <w:kern w:val="2"/>
          <w:sz w:val="24"/>
          <w:szCs w:val="24"/>
          <w:highlight w:val="none"/>
          <w:lang w:val="en-US" w:eastAsia="zh-CN" w:bidi="ar-SA"/>
        </w:rPr>
      </w:pPr>
      <w:r>
        <w:rPr>
          <w:rFonts w:hint="eastAsia" w:asciiTheme="majorEastAsia" w:hAnsiTheme="majorEastAsia" w:eastAsiaTheme="majorEastAsia" w:cstheme="majorEastAsia"/>
          <w:color w:val="auto"/>
          <w:kern w:val="2"/>
          <w:sz w:val="24"/>
          <w:szCs w:val="24"/>
          <w:highlight w:val="none"/>
          <w:lang w:val="en-US" w:eastAsia="zh-CN" w:bidi="ar-SA"/>
        </w:rPr>
        <w:t>（</w:t>
      </w:r>
      <w:r>
        <w:rPr>
          <w:rFonts w:hint="eastAsia" w:asciiTheme="majorEastAsia" w:hAnsiTheme="majorEastAsia" w:eastAsiaTheme="majorEastAsia" w:cstheme="majorEastAsia"/>
          <w:b w:val="0"/>
          <w:bCs w:val="0"/>
          <w:color w:val="auto"/>
          <w:kern w:val="2"/>
          <w:sz w:val="24"/>
          <w:szCs w:val="24"/>
          <w:highlight w:val="none"/>
          <w:lang w:val="en-US" w:eastAsia="zh-CN" w:bidi="ar-SA"/>
        </w:rPr>
        <w:t>17）具备智能车牌快速识别技术。</w:t>
      </w:r>
    </w:p>
    <w:p w14:paraId="79FB668C">
      <w:pPr>
        <w:pStyle w:val="2"/>
        <w:pageBreakBefore w:val="0"/>
        <w:widowControl w:val="0"/>
        <w:kinsoku/>
        <w:wordWrap/>
        <w:overflowPunct/>
        <w:topLinePunct w:val="0"/>
        <w:autoSpaceDE/>
        <w:autoSpaceDN/>
        <w:bidi w:val="0"/>
        <w:adjustRightInd/>
        <w:snapToGrid/>
        <w:spacing w:before="0" w:after="0" w:line="440" w:lineRule="exact"/>
        <w:ind w:leftChars="0"/>
        <w:textAlignment w:val="auto"/>
        <w:rPr>
          <w:rFonts w:hint="eastAsia" w:asciiTheme="majorEastAsia" w:hAnsiTheme="majorEastAsia" w:eastAsiaTheme="majorEastAsia" w:cstheme="majorEastAsia"/>
          <w:b/>
          <w:bCs/>
          <w:color w:val="auto"/>
          <w:sz w:val="24"/>
          <w:szCs w:val="24"/>
          <w:highlight w:val="none"/>
          <w:lang w:val="en-US" w:eastAsia="zh-CN"/>
        </w:rPr>
      </w:pPr>
      <w:r>
        <w:rPr>
          <w:rFonts w:hint="eastAsia" w:asciiTheme="majorEastAsia" w:hAnsiTheme="majorEastAsia" w:eastAsiaTheme="majorEastAsia" w:cstheme="majorEastAsia"/>
          <w:b/>
          <w:bCs/>
          <w:color w:val="auto"/>
          <w:sz w:val="24"/>
          <w:szCs w:val="24"/>
          <w:highlight w:val="none"/>
          <w:lang w:val="en-US" w:eastAsia="zh-CN"/>
        </w:rPr>
        <w:t>7.示踪剂</w:t>
      </w:r>
      <w:bookmarkStart w:id="0" w:name="_GoBack"/>
      <w:bookmarkEnd w:id="0"/>
    </w:p>
    <w:p w14:paraId="43B1A75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0" w:firstLineChars="200"/>
        <w:jc w:val="both"/>
        <w:textAlignment w:val="auto"/>
        <w:rPr>
          <w:rFonts w:hint="eastAsia" w:asciiTheme="majorEastAsia" w:hAnsiTheme="majorEastAsia" w:eastAsiaTheme="majorEastAsia" w:cstheme="majorEastAsia"/>
          <w:b w:val="0"/>
          <w:bCs w:val="0"/>
          <w:color w:val="auto"/>
          <w:kern w:val="2"/>
          <w:sz w:val="24"/>
          <w:szCs w:val="24"/>
          <w:highlight w:val="none"/>
          <w:lang w:val="en-US" w:eastAsia="zh-CN" w:bidi="ar-SA"/>
        </w:rPr>
      </w:pPr>
      <w:r>
        <w:rPr>
          <w:rFonts w:hint="eastAsia" w:asciiTheme="majorEastAsia" w:hAnsiTheme="majorEastAsia" w:eastAsiaTheme="majorEastAsia" w:cstheme="majorEastAsia"/>
          <w:b w:val="0"/>
          <w:bCs w:val="0"/>
          <w:color w:val="auto"/>
          <w:kern w:val="2"/>
          <w:sz w:val="24"/>
          <w:szCs w:val="24"/>
          <w:highlight w:val="none"/>
          <w:lang w:val="en-US" w:eastAsia="zh-CN" w:bidi="ar-SA"/>
        </w:rPr>
        <w:t>（1）荧光剂：需包含黄、绿红三种颜色，每个重量≤500克；</w:t>
      </w:r>
    </w:p>
    <w:p w14:paraId="217DECA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0" w:firstLineChars="200"/>
        <w:jc w:val="both"/>
        <w:textAlignment w:val="auto"/>
        <w:rPr>
          <w:rFonts w:hint="eastAsia"/>
          <w:b w:val="0"/>
          <w:bCs w:val="0"/>
          <w:color w:val="auto"/>
          <w:sz w:val="24"/>
          <w:szCs w:val="24"/>
          <w:highlight w:val="none"/>
          <w:lang w:val="en-US" w:eastAsia="zh-CN"/>
        </w:rPr>
      </w:pPr>
      <w:r>
        <w:rPr>
          <w:rFonts w:hint="eastAsia" w:cs="宋体"/>
          <w:b w:val="0"/>
          <w:bCs w:val="0"/>
          <w:color w:val="auto"/>
          <w:kern w:val="2"/>
          <w:sz w:val="24"/>
          <w:szCs w:val="24"/>
          <w:highlight w:val="none"/>
          <w:lang w:val="en-US" w:eastAsia="zh-CN" w:bidi="ar-SA"/>
        </w:rPr>
        <w:t>（</w:t>
      </w:r>
      <w:r>
        <w:rPr>
          <w:rFonts w:hint="eastAsia" w:ascii="宋体" w:hAnsi="宋体" w:eastAsia="宋体" w:cs="宋体"/>
          <w:b w:val="0"/>
          <w:bCs w:val="0"/>
          <w:color w:val="auto"/>
          <w:kern w:val="2"/>
          <w:sz w:val="24"/>
          <w:szCs w:val="24"/>
          <w:highlight w:val="none"/>
          <w:lang w:val="en-US" w:eastAsia="zh-CN" w:bidi="ar-SA"/>
        </w:rPr>
        <w:t>2）</w:t>
      </w:r>
      <w:r>
        <w:rPr>
          <w:rFonts w:hint="eastAsia" w:asciiTheme="majorEastAsia" w:hAnsiTheme="majorEastAsia" w:eastAsiaTheme="majorEastAsia" w:cstheme="majorEastAsia"/>
          <w:b w:val="0"/>
          <w:bCs w:val="0"/>
          <w:color w:val="auto"/>
          <w:kern w:val="2"/>
          <w:sz w:val="24"/>
          <w:szCs w:val="24"/>
          <w:highlight w:val="none"/>
          <w:lang w:val="en-US" w:eastAsia="zh-CN" w:bidi="ar-SA"/>
        </w:rPr>
        <w:t>配件：需包含55w紫外灯一个。</w:t>
      </w:r>
    </w:p>
    <w:p w14:paraId="0EF0830D">
      <w:pPr>
        <w:keepNext w:val="0"/>
        <w:keepLines w:val="0"/>
        <w:pageBreakBefore w:val="0"/>
        <w:widowControl w:val="0"/>
        <w:kinsoku/>
        <w:wordWrap/>
        <w:overflowPunct/>
        <w:topLinePunct w:val="0"/>
        <w:autoSpaceDE/>
        <w:autoSpaceDN/>
        <w:bidi w:val="0"/>
        <w:adjustRightInd/>
        <w:snapToGrid/>
        <w:spacing w:line="440" w:lineRule="exact"/>
        <w:ind w:left="0" w:leftChars="0" w:firstLine="482" w:firstLineChars="200"/>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w:t>
      </w:r>
      <w:r>
        <w:rPr>
          <w:rFonts w:hint="eastAsia" w:cs="宋体"/>
          <w:b/>
          <w:bCs/>
          <w:color w:val="auto"/>
          <w:kern w:val="0"/>
          <w:sz w:val="24"/>
          <w:szCs w:val="24"/>
          <w:highlight w:val="none"/>
          <w:lang w:val="en-US" w:eastAsia="zh-CN"/>
        </w:rPr>
        <w:t>五</w:t>
      </w:r>
      <w:r>
        <w:rPr>
          <w:rFonts w:hint="eastAsia" w:ascii="宋体" w:hAnsi="宋体" w:eastAsia="宋体" w:cs="宋体"/>
          <w:b/>
          <w:bCs/>
          <w:color w:val="auto"/>
          <w:kern w:val="0"/>
          <w:sz w:val="24"/>
          <w:szCs w:val="24"/>
          <w:highlight w:val="none"/>
        </w:rPr>
        <w:t>）项目验收方式及要求</w:t>
      </w:r>
    </w:p>
    <w:p w14:paraId="6BB8C336">
      <w:pPr>
        <w:keepNext w:val="0"/>
        <w:keepLines w:val="0"/>
        <w:pageBreakBefore w:val="0"/>
        <w:widowControl w:val="0"/>
        <w:kinsoku/>
        <w:wordWrap/>
        <w:overflowPunct/>
        <w:topLinePunct w:val="0"/>
        <w:autoSpaceDE/>
        <w:autoSpaceDN/>
        <w:bidi w:val="0"/>
        <w:adjustRightInd/>
        <w:snapToGrid/>
        <w:spacing w:line="440" w:lineRule="exact"/>
        <w:ind w:leftChars="0" w:firstLine="482" w:firstLineChars="200"/>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cs="宋体"/>
          <w:b/>
          <w:bCs/>
          <w:color w:val="auto"/>
          <w:kern w:val="0"/>
          <w:sz w:val="24"/>
          <w:szCs w:val="24"/>
          <w:highlight w:val="none"/>
          <w:lang w:val="en-US" w:eastAsia="zh-CN"/>
        </w:rPr>
        <w:t>.</w:t>
      </w:r>
      <w:r>
        <w:rPr>
          <w:rFonts w:hint="eastAsia" w:ascii="宋体" w:hAnsi="宋体" w:eastAsia="宋体" w:cs="宋体"/>
          <w:b/>
          <w:bCs/>
          <w:color w:val="auto"/>
          <w:kern w:val="0"/>
          <w:sz w:val="24"/>
          <w:szCs w:val="24"/>
          <w:highlight w:val="none"/>
        </w:rPr>
        <w:t>验收标准：</w:t>
      </w:r>
      <w:r>
        <w:rPr>
          <w:rFonts w:hint="eastAsia" w:ascii="宋体" w:hAnsi="宋体" w:eastAsia="宋体" w:cs="宋体"/>
          <w:b w:val="0"/>
          <w:bCs w:val="0"/>
          <w:color w:val="auto"/>
          <w:kern w:val="0"/>
          <w:sz w:val="24"/>
          <w:szCs w:val="24"/>
          <w:highlight w:val="none"/>
        </w:rPr>
        <w:t>所提供货物与服务均满足本次采购项目的总体需求和技术参数需要。</w:t>
      </w:r>
    </w:p>
    <w:p w14:paraId="41B38D71">
      <w:pPr>
        <w:keepNext w:val="0"/>
        <w:keepLines w:val="0"/>
        <w:pageBreakBefore w:val="0"/>
        <w:widowControl w:val="0"/>
        <w:kinsoku/>
        <w:wordWrap/>
        <w:overflowPunct/>
        <w:topLinePunct w:val="0"/>
        <w:autoSpaceDE/>
        <w:autoSpaceDN/>
        <w:bidi w:val="0"/>
        <w:adjustRightInd/>
        <w:snapToGrid/>
        <w:spacing w:line="440" w:lineRule="exact"/>
        <w:ind w:leftChars="0" w:firstLine="482" w:firstLineChars="200"/>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bCs/>
          <w:color w:val="auto"/>
          <w:kern w:val="0"/>
          <w:sz w:val="24"/>
          <w:szCs w:val="24"/>
          <w:highlight w:val="none"/>
        </w:rPr>
        <w:t>2</w:t>
      </w:r>
      <w:r>
        <w:rPr>
          <w:rFonts w:hint="eastAsia" w:cs="宋体"/>
          <w:b/>
          <w:bCs/>
          <w:color w:val="auto"/>
          <w:kern w:val="0"/>
          <w:sz w:val="24"/>
          <w:szCs w:val="24"/>
          <w:highlight w:val="none"/>
          <w:lang w:val="en-US" w:eastAsia="zh-CN"/>
        </w:rPr>
        <w:t>.</w:t>
      </w:r>
      <w:r>
        <w:rPr>
          <w:rFonts w:hint="eastAsia" w:ascii="宋体" w:hAnsi="宋体" w:eastAsia="宋体" w:cs="宋体"/>
          <w:b/>
          <w:bCs/>
          <w:color w:val="auto"/>
          <w:kern w:val="0"/>
          <w:sz w:val="24"/>
          <w:szCs w:val="24"/>
          <w:highlight w:val="none"/>
        </w:rPr>
        <w:t>验收内容：</w:t>
      </w:r>
      <w:r>
        <w:rPr>
          <w:rFonts w:hint="eastAsia" w:ascii="宋体" w:hAnsi="宋体" w:eastAsia="宋体" w:cs="宋体"/>
          <w:b w:val="0"/>
          <w:bCs w:val="0"/>
          <w:color w:val="auto"/>
          <w:kern w:val="0"/>
          <w:sz w:val="24"/>
          <w:szCs w:val="24"/>
          <w:highlight w:val="none"/>
        </w:rPr>
        <w:t>成交供应商应提供：（1）供货清单；（2）设备交付材料；（3）设备验收报告。</w:t>
      </w:r>
    </w:p>
    <w:p w14:paraId="3FE638FF">
      <w:pPr>
        <w:keepNext w:val="0"/>
        <w:keepLines w:val="0"/>
        <w:pageBreakBefore w:val="0"/>
        <w:widowControl w:val="0"/>
        <w:kinsoku/>
        <w:wordWrap/>
        <w:overflowPunct/>
        <w:topLinePunct w:val="0"/>
        <w:autoSpaceDE/>
        <w:autoSpaceDN/>
        <w:bidi w:val="0"/>
        <w:adjustRightInd/>
        <w:snapToGrid/>
        <w:spacing w:line="440" w:lineRule="exact"/>
        <w:ind w:leftChars="0" w:firstLine="482" w:firstLineChars="200"/>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bCs/>
          <w:color w:val="auto"/>
          <w:kern w:val="0"/>
          <w:sz w:val="24"/>
          <w:szCs w:val="24"/>
          <w:highlight w:val="none"/>
        </w:rPr>
        <w:t>3</w:t>
      </w:r>
      <w:r>
        <w:rPr>
          <w:rFonts w:hint="eastAsia" w:cs="宋体"/>
          <w:b/>
          <w:bCs/>
          <w:color w:val="auto"/>
          <w:kern w:val="0"/>
          <w:sz w:val="24"/>
          <w:szCs w:val="24"/>
          <w:highlight w:val="none"/>
          <w:lang w:val="en-US" w:eastAsia="zh-CN"/>
        </w:rPr>
        <w:t>.</w:t>
      </w:r>
      <w:r>
        <w:rPr>
          <w:rFonts w:hint="eastAsia" w:ascii="宋体" w:hAnsi="宋体" w:eastAsia="宋体" w:cs="宋体"/>
          <w:b/>
          <w:bCs/>
          <w:color w:val="auto"/>
          <w:kern w:val="0"/>
          <w:sz w:val="24"/>
          <w:szCs w:val="24"/>
          <w:highlight w:val="none"/>
        </w:rPr>
        <w:t>验收方式：</w:t>
      </w:r>
      <w:r>
        <w:rPr>
          <w:rFonts w:hint="eastAsia" w:ascii="宋体" w:hAnsi="宋体" w:eastAsia="宋体" w:cs="宋体"/>
          <w:b w:val="0"/>
          <w:bCs w:val="0"/>
          <w:color w:val="auto"/>
          <w:kern w:val="0"/>
          <w:sz w:val="24"/>
          <w:szCs w:val="24"/>
          <w:highlight w:val="none"/>
        </w:rPr>
        <w:t>交货时双方共同清点货物，签署货物签收单。采购人在10个工作日内及时组织进行验收并出具验收意见，验收报告等材料作为支付货款的依据。</w:t>
      </w:r>
    </w:p>
    <w:p w14:paraId="36541BE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2" w:firstLineChars="200"/>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w:t>
      </w:r>
      <w:r>
        <w:rPr>
          <w:rFonts w:hint="eastAsia" w:cs="宋体"/>
          <w:b/>
          <w:bCs/>
          <w:color w:val="auto"/>
          <w:kern w:val="0"/>
          <w:sz w:val="24"/>
          <w:szCs w:val="24"/>
          <w:highlight w:val="none"/>
          <w:lang w:val="en-US" w:eastAsia="zh-CN"/>
        </w:rPr>
        <w:t>六</w:t>
      </w:r>
      <w:r>
        <w:rPr>
          <w:rFonts w:hint="eastAsia" w:ascii="宋体" w:hAnsi="宋体" w:eastAsia="宋体" w:cs="宋体"/>
          <w:b/>
          <w:bCs/>
          <w:color w:val="auto"/>
          <w:kern w:val="0"/>
          <w:sz w:val="24"/>
          <w:szCs w:val="24"/>
          <w:highlight w:val="none"/>
        </w:rPr>
        <w:t>）其它保证措施</w:t>
      </w:r>
    </w:p>
    <w:p w14:paraId="44792E1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2" w:firstLineChars="200"/>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cs="宋体"/>
          <w:b/>
          <w:bCs/>
          <w:color w:val="auto"/>
          <w:kern w:val="0"/>
          <w:sz w:val="24"/>
          <w:szCs w:val="24"/>
          <w:highlight w:val="none"/>
          <w:lang w:val="en-US" w:eastAsia="zh-CN"/>
        </w:rPr>
        <w:t>.</w:t>
      </w:r>
      <w:r>
        <w:rPr>
          <w:rFonts w:hint="eastAsia" w:ascii="宋体" w:hAnsi="宋体" w:eastAsia="宋体" w:cs="宋体"/>
          <w:b/>
          <w:bCs/>
          <w:color w:val="auto"/>
          <w:kern w:val="0"/>
          <w:sz w:val="24"/>
          <w:szCs w:val="24"/>
          <w:highlight w:val="none"/>
        </w:rPr>
        <w:t>项目材料归档：</w:t>
      </w:r>
      <w:r>
        <w:rPr>
          <w:rFonts w:hint="eastAsia" w:ascii="宋体" w:hAnsi="宋体" w:eastAsia="宋体" w:cs="宋体"/>
          <w:b w:val="0"/>
          <w:bCs w:val="0"/>
          <w:color w:val="auto"/>
          <w:kern w:val="0"/>
          <w:sz w:val="24"/>
          <w:szCs w:val="24"/>
          <w:highlight w:val="none"/>
        </w:rPr>
        <w:t>全面收集应归档的文件材料，切实留存工作痕迹，真实记录，加强收集，确保归档文件材料的齐全和完整。</w:t>
      </w:r>
    </w:p>
    <w:p w14:paraId="5A1A610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2" w:firstLineChars="200"/>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bCs/>
          <w:color w:val="auto"/>
          <w:kern w:val="0"/>
          <w:sz w:val="24"/>
          <w:szCs w:val="24"/>
          <w:highlight w:val="none"/>
        </w:rPr>
        <w:t>2</w:t>
      </w:r>
      <w:r>
        <w:rPr>
          <w:rFonts w:hint="eastAsia" w:cs="宋体"/>
          <w:b/>
          <w:bCs/>
          <w:color w:val="auto"/>
          <w:kern w:val="0"/>
          <w:sz w:val="24"/>
          <w:szCs w:val="24"/>
          <w:highlight w:val="none"/>
          <w:lang w:val="en-US" w:eastAsia="zh-CN"/>
        </w:rPr>
        <w:t>.</w:t>
      </w:r>
      <w:r>
        <w:rPr>
          <w:rFonts w:hint="eastAsia" w:ascii="宋体" w:hAnsi="宋体" w:eastAsia="宋体" w:cs="宋体"/>
          <w:b/>
          <w:bCs/>
          <w:color w:val="auto"/>
          <w:kern w:val="0"/>
          <w:sz w:val="24"/>
          <w:szCs w:val="24"/>
          <w:highlight w:val="none"/>
        </w:rPr>
        <w:t>数据归属及保密：</w:t>
      </w:r>
      <w:r>
        <w:rPr>
          <w:rFonts w:hint="eastAsia" w:ascii="宋体" w:hAnsi="宋体" w:eastAsia="宋体" w:cs="宋体"/>
          <w:b w:val="0"/>
          <w:bCs w:val="0"/>
          <w:color w:val="auto"/>
          <w:kern w:val="0"/>
          <w:sz w:val="24"/>
          <w:szCs w:val="24"/>
          <w:highlight w:val="none"/>
        </w:rPr>
        <w:t>本项目所形成的数据归采购人所有。未经采购人授权，供应商无权使用数据或将数据发送给任何第三方。</w:t>
      </w:r>
    </w:p>
    <w:p w14:paraId="0E1CF00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2" w:firstLineChars="200"/>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3</w:t>
      </w:r>
      <w:r>
        <w:rPr>
          <w:rFonts w:hint="eastAsia" w:cs="宋体"/>
          <w:b/>
          <w:bCs/>
          <w:color w:val="auto"/>
          <w:kern w:val="0"/>
          <w:sz w:val="24"/>
          <w:szCs w:val="24"/>
          <w:highlight w:val="none"/>
          <w:lang w:val="en-US" w:eastAsia="zh-CN"/>
        </w:rPr>
        <w:t>.</w:t>
      </w:r>
      <w:r>
        <w:rPr>
          <w:rFonts w:hint="eastAsia" w:ascii="宋体" w:hAnsi="宋体" w:eastAsia="宋体" w:cs="宋体"/>
          <w:b/>
          <w:bCs/>
          <w:color w:val="auto"/>
          <w:kern w:val="0"/>
          <w:sz w:val="24"/>
          <w:szCs w:val="24"/>
          <w:highlight w:val="none"/>
        </w:rPr>
        <w:t>安全风险及纠纷：</w:t>
      </w:r>
    </w:p>
    <w:p w14:paraId="495AC35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（1）供应商应充分考虑项目实施过程中的各项安全风险，并采取必要的措施予以保障；若项目实施过程中发生任何安全事故或人身伤害，则均由供应商自行承担。</w:t>
      </w:r>
    </w:p>
    <w:p w14:paraId="5A3EE3C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0"/>
          <w:sz w:val="24"/>
          <w:szCs w:val="24"/>
          <w:highlight w:val="none"/>
        </w:rPr>
        <w:t>（2）供应商项目组成员在履行工作职责期间（包括上下班途中），发生自身的人身伤害、伤亡以及事故等，均由供应商负责处理并承担经济和道义上的责任，采购人不承担任何责任。供应商与所派遣的人员发生纠纷，均由供应商负责调解与处理，采购人不承担责任。</w:t>
      </w:r>
    </w:p>
    <w:p w14:paraId="0FEB8B43">
      <w:pPr>
        <w:keepNext w:val="0"/>
        <w:keepLines w:val="0"/>
        <w:pageBreakBefore w:val="0"/>
        <w:widowControl w:val="0"/>
        <w:kinsoku/>
        <w:wordWrap/>
        <w:overflowPunct/>
        <w:topLinePunct w:val="0"/>
        <w:autoSpaceDE/>
        <w:autoSpaceDN/>
        <w:bidi w:val="0"/>
        <w:adjustRightInd/>
        <w:snapToGrid/>
        <w:spacing w:line="440" w:lineRule="exact"/>
        <w:ind w:leftChars="0" w:firstLine="482"/>
        <w:textAlignment w:val="auto"/>
        <w:rPr>
          <w:rFonts w:hint="eastAsia"/>
          <w:b/>
          <w:bCs/>
          <w:color w:val="auto"/>
          <w:highlight w:val="none"/>
        </w:rPr>
      </w:pPr>
      <w:r>
        <w:rPr>
          <w:rFonts w:hint="eastAsia"/>
          <w:b/>
          <w:bCs/>
          <w:color w:val="auto"/>
          <w:highlight w:val="none"/>
        </w:rPr>
        <w:t>二、</w:t>
      </w:r>
      <w:r>
        <w:rPr>
          <w:b/>
          <w:bCs/>
          <w:color w:val="auto"/>
          <w:highlight w:val="none"/>
        </w:rPr>
        <w:t>报价供应商的要求</w:t>
      </w:r>
    </w:p>
    <w:p w14:paraId="5A4A310D">
      <w:pPr>
        <w:keepNext w:val="0"/>
        <w:keepLines w:val="0"/>
        <w:pageBreakBefore w:val="0"/>
        <w:widowControl w:val="0"/>
        <w:kinsoku/>
        <w:wordWrap/>
        <w:overflowPunct/>
        <w:topLinePunct w:val="0"/>
        <w:autoSpaceDE/>
        <w:autoSpaceDN/>
        <w:bidi w:val="0"/>
        <w:adjustRightInd/>
        <w:snapToGrid/>
        <w:spacing w:line="440" w:lineRule="exact"/>
        <w:ind w:leftChars="0"/>
        <w:textAlignment w:val="auto"/>
        <w:rPr>
          <w:rFonts w:hint="eastAsia"/>
          <w:color w:val="auto"/>
          <w:highlight w:val="none"/>
        </w:rPr>
      </w:pPr>
      <w:r>
        <w:rPr>
          <w:color w:val="auto"/>
          <w:highlight w:val="none"/>
        </w:rPr>
        <w:t>1</w:t>
      </w:r>
      <w:r>
        <w:rPr>
          <w:rFonts w:hint="eastAsia"/>
          <w:color w:val="auto"/>
          <w:highlight w:val="none"/>
          <w:lang w:val="en-US" w:eastAsia="zh-CN"/>
        </w:rPr>
        <w:t>.</w:t>
      </w:r>
      <w:r>
        <w:rPr>
          <w:color w:val="auto"/>
          <w:highlight w:val="none"/>
        </w:rPr>
        <w:t>符合《中华人民共和国政府采购法》第二十二条的规定</w:t>
      </w:r>
      <w:r>
        <w:rPr>
          <w:rFonts w:hint="eastAsia"/>
          <w:color w:val="auto"/>
          <w:highlight w:val="none"/>
        </w:rPr>
        <w:t>。</w:t>
      </w:r>
    </w:p>
    <w:p w14:paraId="6B48A3E6">
      <w:pPr>
        <w:keepNext w:val="0"/>
        <w:keepLines w:val="0"/>
        <w:pageBreakBefore w:val="0"/>
        <w:widowControl w:val="0"/>
        <w:kinsoku/>
        <w:wordWrap/>
        <w:overflowPunct/>
        <w:topLinePunct w:val="0"/>
        <w:autoSpaceDE/>
        <w:autoSpaceDN/>
        <w:bidi w:val="0"/>
        <w:adjustRightInd/>
        <w:snapToGrid/>
        <w:spacing w:line="440" w:lineRule="exact"/>
        <w:ind w:leftChars="0"/>
        <w:textAlignment w:val="auto"/>
        <w:rPr>
          <w:rFonts w:hint="eastAsia"/>
          <w:color w:val="auto"/>
          <w:highlight w:val="none"/>
        </w:rPr>
      </w:pPr>
      <w:r>
        <w:rPr>
          <w:color w:val="auto"/>
          <w:highlight w:val="none"/>
        </w:rPr>
        <w:t>2</w:t>
      </w:r>
      <w:r>
        <w:rPr>
          <w:rFonts w:hint="eastAsia"/>
          <w:color w:val="auto"/>
          <w:highlight w:val="none"/>
          <w:lang w:val="en-US" w:eastAsia="zh-CN"/>
        </w:rPr>
        <w:t>.</w:t>
      </w:r>
      <w:r>
        <w:rPr>
          <w:color w:val="auto"/>
          <w:highlight w:val="none"/>
        </w:rPr>
        <w:t>未被“信用中国”网站（www.creditchina.gov.cn）列入失信被执行人、重大税收违法案件当事人名单、政府采购严重失信行为记录名单</w:t>
      </w:r>
      <w:r>
        <w:rPr>
          <w:rFonts w:hint="eastAsia"/>
          <w:color w:val="auto"/>
          <w:highlight w:val="none"/>
        </w:rPr>
        <w:t>。</w:t>
      </w:r>
    </w:p>
    <w:p w14:paraId="2FBDA6CC">
      <w:pPr>
        <w:keepNext w:val="0"/>
        <w:keepLines w:val="0"/>
        <w:pageBreakBefore w:val="0"/>
        <w:widowControl w:val="0"/>
        <w:kinsoku/>
        <w:wordWrap/>
        <w:overflowPunct/>
        <w:topLinePunct w:val="0"/>
        <w:autoSpaceDE/>
        <w:autoSpaceDN/>
        <w:bidi w:val="0"/>
        <w:adjustRightInd/>
        <w:snapToGrid/>
        <w:spacing w:line="440" w:lineRule="exact"/>
        <w:ind w:leftChars="0"/>
        <w:textAlignment w:val="auto"/>
        <w:rPr>
          <w:rFonts w:hint="eastAsia"/>
          <w:color w:val="auto"/>
          <w:highlight w:val="none"/>
        </w:rPr>
      </w:pPr>
      <w:r>
        <w:rPr>
          <w:color w:val="auto"/>
          <w:highlight w:val="none"/>
        </w:rPr>
        <w:t>3</w:t>
      </w:r>
      <w:r>
        <w:rPr>
          <w:rFonts w:hint="eastAsia"/>
          <w:color w:val="auto"/>
          <w:highlight w:val="none"/>
          <w:lang w:val="en-US" w:eastAsia="zh-CN"/>
        </w:rPr>
        <w:t>.</w:t>
      </w:r>
      <w:r>
        <w:rPr>
          <w:color w:val="auto"/>
          <w:highlight w:val="none"/>
        </w:rPr>
        <w:t>报价供应商</w:t>
      </w:r>
      <w:r>
        <w:rPr>
          <w:rFonts w:hint="eastAsia"/>
          <w:color w:val="auto"/>
          <w:highlight w:val="none"/>
        </w:rPr>
        <w:t>必须是在中华人民共和国境内注册并取得营业执照，具有独立法人资格，具有独立承担民事责任能力的合法企业单位。</w:t>
      </w:r>
    </w:p>
    <w:p w14:paraId="7F9983D8">
      <w:pPr>
        <w:keepNext w:val="0"/>
        <w:keepLines w:val="0"/>
        <w:pageBreakBefore w:val="0"/>
        <w:widowControl w:val="0"/>
        <w:kinsoku/>
        <w:wordWrap/>
        <w:overflowPunct/>
        <w:topLinePunct w:val="0"/>
        <w:autoSpaceDE/>
        <w:autoSpaceDN/>
        <w:bidi w:val="0"/>
        <w:adjustRightInd/>
        <w:snapToGrid/>
        <w:spacing w:line="440" w:lineRule="exact"/>
        <w:ind w:leftChars="0" w:firstLine="482"/>
        <w:textAlignment w:val="auto"/>
        <w:rPr>
          <w:rFonts w:hint="eastAsia"/>
          <w:color w:val="auto"/>
          <w:highlight w:val="none"/>
        </w:rPr>
      </w:pPr>
      <w:r>
        <w:rPr>
          <w:rFonts w:hint="eastAsia"/>
          <w:b/>
          <w:bCs/>
          <w:color w:val="auto"/>
          <w:highlight w:val="none"/>
        </w:rPr>
        <w:t>三、约定事项</w:t>
      </w:r>
    </w:p>
    <w:p w14:paraId="3F63F765">
      <w:pPr>
        <w:keepNext w:val="0"/>
        <w:keepLines w:val="0"/>
        <w:pageBreakBefore w:val="0"/>
        <w:widowControl w:val="0"/>
        <w:kinsoku/>
        <w:wordWrap/>
        <w:overflowPunct/>
        <w:topLinePunct w:val="0"/>
        <w:autoSpaceDE/>
        <w:autoSpaceDN/>
        <w:bidi w:val="0"/>
        <w:adjustRightInd/>
        <w:snapToGrid/>
        <w:spacing w:line="440" w:lineRule="exact"/>
        <w:ind w:leftChars="0" w:firstLine="482"/>
        <w:textAlignment w:val="auto"/>
        <w:rPr>
          <w:rFonts w:hint="eastAsia"/>
          <w:b/>
          <w:bCs/>
          <w:color w:val="auto"/>
          <w:highlight w:val="none"/>
        </w:rPr>
      </w:pPr>
      <w:r>
        <w:rPr>
          <w:rFonts w:hint="eastAsia"/>
          <w:b/>
          <w:bCs/>
          <w:color w:val="auto"/>
          <w:highlight w:val="none"/>
        </w:rPr>
        <w:t>1</w:t>
      </w:r>
      <w:r>
        <w:rPr>
          <w:rFonts w:hint="eastAsia"/>
          <w:b/>
          <w:bCs/>
          <w:color w:val="auto"/>
          <w:highlight w:val="none"/>
          <w:lang w:val="en-US" w:eastAsia="zh-CN"/>
        </w:rPr>
        <w:t>.</w:t>
      </w:r>
      <w:r>
        <w:rPr>
          <w:rFonts w:hint="eastAsia"/>
          <w:b/>
          <w:bCs/>
          <w:color w:val="auto"/>
          <w:highlight w:val="none"/>
        </w:rPr>
        <w:t>参与报价的单位需将市场询价报价</w:t>
      </w:r>
      <w:r>
        <w:rPr>
          <w:rFonts w:hint="eastAsia"/>
          <w:b/>
          <w:bCs/>
          <w:color w:val="auto"/>
          <w:highlight w:val="none"/>
          <w:lang w:val="en-US" w:eastAsia="zh-CN"/>
        </w:rPr>
        <w:t>表</w:t>
      </w:r>
      <w:r>
        <w:rPr>
          <w:rFonts w:hint="eastAsia"/>
          <w:b/>
          <w:bCs/>
          <w:color w:val="auto"/>
          <w:highlight w:val="none"/>
        </w:rPr>
        <w:t>、有效营业执照、其他相关证明材料（如有）于2025年</w:t>
      </w:r>
      <w:r>
        <w:rPr>
          <w:rFonts w:hint="eastAsia"/>
          <w:b/>
          <w:bCs/>
          <w:color w:val="auto"/>
          <w:highlight w:val="none"/>
          <w:lang w:val="en-US" w:eastAsia="zh-CN"/>
        </w:rPr>
        <w:t>12</w:t>
      </w:r>
      <w:r>
        <w:rPr>
          <w:rFonts w:hint="eastAsia"/>
          <w:b/>
          <w:bCs/>
          <w:color w:val="auto"/>
          <w:highlight w:val="none"/>
        </w:rPr>
        <w:t>月</w:t>
      </w:r>
      <w:r>
        <w:rPr>
          <w:rFonts w:hint="eastAsia"/>
          <w:b/>
          <w:bCs/>
          <w:color w:val="auto"/>
          <w:highlight w:val="none"/>
          <w:lang w:val="en-US" w:eastAsia="zh-CN"/>
        </w:rPr>
        <w:t>18</w:t>
      </w:r>
      <w:r>
        <w:rPr>
          <w:rFonts w:hint="eastAsia"/>
          <w:b/>
          <w:bCs/>
          <w:color w:val="auto"/>
          <w:highlight w:val="none"/>
        </w:rPr>
        <w:t>日17:00前，送或寄（以邮戳为准）至启东市汇龙镇人民中路972号明天商务广场302室，联系人：施女士，联系电话:18901481738。或发送电子扫描件至18901481738@163.com邮箱。</w:t>
      </w:r>
    </w:p>
    <w:p w14:paraId="7916B654">
      <w:pPr>
        <w:keepNext w:val="0"/>
        <w:keepLines w:val="0"/>
        <w:pageBreakBefore w:val="0"/>
        <w:widowControl w:val="0"/>
        <w:kinsoku/>
        <w:wordWrap/>
        <w:overflowPunct/>
        <w:topLinePunct w:val="0"/>
        <w:autoSpaceDE/>
        <w:autoSpaceDN/>
        <w:bidi w:val="0"/>
        <w:adjustRightInd/>
        <w:snapToGrid/>
        <w:spacing w:line="440" w:lineRule="exact"/>
        <w:ind w:leftChars="0"/>
        <w:textAlignment w:val="auto"/>
        <w:rPr>
          <w:rFonts w:hint="eastAsia"/>
          <w:color w:val="auto"/>
          <w:highlight w:val="none"/>
        </w:rPr>
      </w:pPr>
      <w:r>
        <w:rPr>
          <w:rFonts w:hint="eastAsia"/>
          <w:bCs/>
          <w:color w:val="auto"/>
          <w:highlight w:val="none"/>
        </w:rPr>
        <w:t>2</w:t>
      </w:r>
      <w:r>
        <w:rPr>
          <w:rFonts w:hint="eastAsia"/>
          <w:bCs/>
          <w:color w:val="auto"/>
          <w:highlight w:val="none"/>
          <w:lang w:val="en-US" w:eastAsia="zh-CN"/>
        </w:rPr>
        <w:t>.</w:t>
      </w:r>
      <w:r>
        <w:rPr>
          <w:rFonts w:hint="eastAsia"/>
          <w:color w:val="auto"/>
          <w:highlight w:val="none"/>
        </w:rPr>
        <w:t>报价费用说明：本项目报价应包含本项目所涉及的所有费用，包括本项目所需的相关设备费用、劳务费、通信费、交通费、办公设备费、食宿费、保险费（包括人身意外及伤亡保险）、专家费（如有）、差旅费、现场调查费用、文件资料费、利润、税金、招标代理费等一切有可能发生的费用，投标人须综合考虑计入并慎重报价，中标后不再另行结算其它费用，采购人不予支付其它任何费用。</w:t>
      </w:r>
    </w:p>
    <w:p w14:paraId="775DB025">
      <w:pPr>
        <w:keepNext w:val="0"/>
        <w:keepLines w:val="0"/>
        <w:pageBreakBefore w:val="0"/>
        <w:widowControl w:val="0"/>
        <w:kinsoku/>
        <w:wordWrap/>
        <w:overflowPunct/>
        <w:topLinePunct w:val="0"/>
        <w:autoSpaceDE/>
        <w:autoSpaceDN/>
        <w:bidi w:val="0"/>
        <w:adjustRightInd/>
        <w:snapToGrid/>
        <w:spacing w:line="440" w:lineRule="exact"/>
        <w:ind w:leftChars="0"/>
        <w:textAlignment w:val="auto"/>
        <w:rPr>
          <w:rFonts w:hint="eastAsia"/>
          <w:color w:val="auto"/>
          <w:highlight w:val="none"/>
        </w:rPr>
      </w:pPr>
      <w:r>
        <w:rPr>
          <w:rFonts w:hint="eastAsia" w:cs="黑体"/>
          <w:color w:val="auto"/>
          <w:highlight w:val="none"/>
        </w:rPr>
        <w:t>3</w:t>
      </w:r>
      <w:r>
        <w:rPr>
          <w:rFonts w:hint="eastAsia" w:cs="黑体"/>
          <w:color w:val="auto"/>
          <w:highlight w:val="none"/>
          <w:lang w:val="en-US" w:eastAsia="zh-CN"/>
        </w:rPr>
        <w:t>.</w:t>
      </w:r>
      <w:r>
        <w:rPr>
          <w:rFonts w:hint="eastAsia"/>
          <w:color w:val="auto"/>
          <w:highlight w:val="none"/>
        </w:rPr>
        <w:t>所有报价材料必须加盖报价单位公章。</w:t>
      </w:r>
    </w:p>
    <w:p w14:paraId="603B708D">
      <w:pPr>
        <w:keepNext w:val="0"/>
        <w:keepLines w:val="0"/>
        <w:pageBreakBefore w:val="0"/>
        <w:widowControl w:val="0"/>
        <w:kinsoku/>
        <w:wordWrap/>
        <w:overflowPunct/>
        <w:topLinePunct w:val="0"/>
        <w:autoSpaceDE/>
        <w:autoSpaceDN/>
        <w:bidi w:val="0"/>
        <w:adjustRightInd/>
        <w:snapToGrid/>
        <w:spacing w:line="440" w:lineRule="exact"/>
        <w:ind w:leftChars="0"/>
        <w:textAlignment w:val="auto"/>
        <w:rPr>
          <w:rFonts w:hint="eastAsia"/>
          <w:color w:val="auto"/>
          <w:highlight w:val="none"/>
        </w:rPr>
      </w:pPr>
      <w:r>
        <w:rPr>
          <w:rFonts w:hint="eastAsia"/>
          <w:color w:val="auto"/>
          <w:highlight w:val="none"/>
        </w:rPr>
        <w:t>4</w:t>
      </w:r>
      <w:r>
        <w:rPr>
          <w:rFonts w:hint="eastAsia"/>
          <w:color w:val="auto"/>
          <w:highlight w:val="none"/>
          <w:lang w:val="en-US" w:eastAsia="zh-CN"/>
        </w:rPr>
        <w:t>.</w:t>
      </w:r>
      <w:r>
        <w:rPr>
          <w:rFonts w:hint="eastAsia"/>
          <w:color w:val="auto"/>
          <w:highlight w:val="none"/>
        </w:rPr>
        <w:t>采购资金的支付方式：银行转账。</w:t>
      </w:r>
    </w:p>
    <w:p w14:paraId="6359CDD4">
      <w:pPr>
        <w:keepNext w:val="0"/>
        <w:keepLines w:val="0"/>
        <w:pageBreakBefore w:val="0"/>
        <w:widowControl w:val="0"/>
        <w:kinsoku/>
        <w:wordWrap/>
        <w:overflowPunct/>
        <w:topLinePunct w:val="0"/>
        <w:autoSpaceDE/>
        <w:autoSpaceDN/>
        <w:bidi w:val="0"/>
        <w:adjustRightInd/>
        <w:snapToGrid/>
        <w:spacing w:line="440" w:lineRule="exact"/>
        <w:ind w:leftChars="0"/>
        <w:textAlignment w:val="auto"/>
        <w:rPr>
          <w:rFonts w:hint="eastAsia"/>
          <w:color w:val="auto"/>
          <w:highlight w:val="none"/>
        </w:rPr>
      </w:pPr>
      <w:r>
        <w:rPr>
          <w:rFonts w:hint="eastAsia"/>
          <w:color w:val="auto"/>
          <w:highlight w:val="none"/>
        </w:rPr>
        <w:t>5</w:t>
      </w:r>
      <w:r>
        <w:rPr>
          <w:rFonts w:hint="eastAsia"/>
          <w:color w:val="auto"/>
          <w:highlight w:val="none"/>
          <w:lang w:val="en-US" w:eastAsia="zh-CN"/>
        </w:rPr>
        <w:t>.</w:t>
      </w:r>
      <w:r>
        <w:rPr>
          <w:rFonts w:hint="eastAsia"/>
          <w:color w:val="auto"/>
          <w:highlight w:val="none"/>
        </w:rPr>
        <w:t>采购资金的支付时间、条件：采购合同签订后30个工作日内，采购人向成交供应商预付</w:t>
      </w:r>
      <w:r>
        <w:rPr>
          <w:rFonts w:hint="eastAsia"/>
          <w:color w:val="auto"/>
          <w:highlight w:val="none"/>
          <w:lang w:val="en-US" w:eastAsia="zh-CN"/>
        </w:rPr>
        <w:t>至</w:t>
      </w:r>
      <w:r>
        <w:rPr>
          <w:rFonts w:hint="eastAsia"/>
          <w:color w:val="auto"/>
          <w:highlight w:val="none"/>
        </w:rPr>
        <w:t>合同价的</w:t>
      </w:r>
      <w:r>
        <w:rPr>
          <w:rFonts w:hint="eastAsia"/>
          <w:color w:val="auto"/>
          <w:highlight w:val="none"/>
          <w:lang w:val="en-US" w:eastAsia="zh-CN"/>
        </w:rPr>
        <w:t>30</w:t>
      </w:r>
      <w:r>
        <w:rPr>
          <w:rFonts w:hint="eastAsia"/>
          <w:color w:val="auto"/>
          <w:highlight w:val="none"/>
        </w:rPr>
        <w:t>%；</w:t>
      </w:r>
      <w:r>
        <w:rPr>
          <w:rFonts w:hint="eastAsia"/>
          <w:color w:val="auto"/>
          <w:highlight w:val="none"/>
          <w:lang w:val="en-US" w:eastAsia="zh-CN"/>
        </w:rPr>
        <w:t>设备供货完成且验收通过</w:t>
      </w:r>
      <w:r>
        <w:rPr>
          <w:rFonts w:hint="eastAsia"/>
          <w:color w:val="auto"/>
          <w:highlight w:val="none"/>
        </w:rPr>
        <w:t>后30个工作日内支付</w:t>
      </w:r>
      <w:r>
        <w:rPr>
          <w:rFonts w:hint="eastAsia"/>
          <w:color w:val="auto"/>
          <w:highlight w:val="none"/>
          <w:lang w:val="en-US" w:eastAsia="zh-CN"/>
        </w:rPr>
        <w:t>至合同价的90%，余款待质保期结束后一次性付清，以上付款均</w:t>
      </w:r>
      <w:r>
        <w:rPr>
          <w:rFonts w:hint="eastAsia"/>
          <w:color w:val="auto"/>
          <w:highlight w:val="none"/>
        </w:rPr>
        <w:t>不计利息。备注：每次付款前，成交供应商应按采购人要求开具合法发票，对满足合同支付条件的，采购人应当自收到发票后30日内支付资金。</w:t>
      </w:r>
    </w:p>
    <w:p w14:paraId="073A1A7B">
      <w:pPr>
        <w:keepNext w:val="0"/>
        <w:keepLines w:val="0"/>
        <w:pageBreakBefore w:val="0"/>
        <w:widowControl w:val="0"/>
        <w:kinsoku/>
        <w:wordWrap/>
        <w:overflowPunct/>
        <w:topLinePunct w:val="0"/>
        <w:autoSpaceDE/>
        <w:autoSpaceDN/>
        <w:bidi w:val="0"/>
        <w:adjustRightInd/>
        <w:snapToGrid/>
        <w:spacing w:line="440" w:lineRule="exact"/>
        <w:ind w:leftChars="0"/>
        <w:textAlignment w:val="auto"/>
        <w:rPr>
          <w:rFonts w:hint="eastAsia"/>
          <w:color w:val="auto"/>
          <w:highlight w:val="none"/>
        </w:rPr>
      </w:pPr>
      <w:r>
        <w:rPr>
          <w:rFonts w:hint="eastAsia"/>
          <w:color w:val="auto"/>
          <w:highlight w:val="none"/>
        </w:rPr>
        <w:t>6</w:t>
      </w:r>
      <w:r>
        <w:rPr>
          <w:rFonts w:hint="eastAsia"/>
          <w:color w:val="auto"/>
          <w:highlight w:val="none"/>
          <w:lang w:val="en-US" w:eastAsia="zh-CN"/>
        </w:rPr>
        <w:t>.</w:t>
      </w:r>
      <w:r>
        <w:rPr>
          <w:rFonts w:hint="eastAsia"/>
          <w:color w:val="auto"/>
          <w:highlight w:val="none"/>
        </w:rPr>
        <w:t>其他：（1）请报价单位认真核算、如实报价，如发现虚假报价的，该单位今后将被列入采购单位黑名单；（2）本次报价仅作为市场调研用，因此价格仅供参考；（3）本次调研询价不接收质疑函，只接收对本项目的建议。</w:t>
      </w:r>
    </w:p>
    <w:p w14:paraId="5B1699B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color w:val="auto"/>
          <w:highlight w:val="none"/>
        </w:rPr>
      </w:pPr>
    </w:p>
    <w:p w14:paraId="3DE2C1FA">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color w:val="auto"/>
          <w:highlight w:val="none"/>
        </w:rPr>
      </w:pPr>
    </w:p>
    <w:p w14:paraId="3F385768">
      <w:pPr>
        <w:keepNext w:val="0"/>
        <w:keepLines w:val="0"/>
        <w:pageBreakBefore w:val="0"/>
        <w:widowControl w:val="0"/>
        <w:kinsoku/>
        <w:wordWrap/>
        <w:overflowPunct/>
        <w:topLinePunct w:val="0"/>
        <w:autoSpaceDE/>
        <w:autoSpaceDN/>
        <w:bidi w:val="0"/>
        <w:adjustRightInd/>
        <w:snapToGrid/>
        <w:spacing w:line="440" w:lineRule="exact"/>
        <w:jc w:val="right"/>
        <w:textAlignment w:val="auto"/>
        <w:rPr>
          <w:rFonts w:hint="eastAsia" w:eastAsia="宋体"/>
          <w:color w:val="auto"/>
          <w:highlight w:val="none"/>
          <w:lang w:val="en-US" w:eastAsia="zh-CN"/>
        </w:rPr>
      </w:pPr>
      <w:r>
        <w:rPr>
          <w:rFonts w:hint="eastAsia"/>
          <w:color w:val="auto"/>
          <w:highlight w:val="none"/>
        </w:rPr>
        <w:t>南通市启东生态环境</w:t>
      </w:r>
      <w:r>
        <w:rPr>
          <w:rFonts w:hint="eastAsia"/>
          <w:color w:val="auto"/>
          <w:highlight w:val="none"/>
          <w:lang w:val="en-US" w:eastAsia="zh-CN"/>
        </w:rPr>
        <w:t>局</w:t>
      </w:r>
    </w:p>
    <w:p w14:paraId="22B55BAE">
      <w:pPr>
        <w:keepNext w:val="0"/>
        <w:keepLines w:val="0"/>
        <w:pageBreakBefore w:val="0"/>
        <w:widowControl w:val="0"/>
        <w:kinsoku/>
        <w:wordWrap/>
        <w:overflowPunct/>
        <w:topLinePunct w:val="0"/>
        <w:autoSpaceDE/>
        <w:autoSpaceDN/>
        <w:bidi w:val="0"/>
        <w:adjustRightInd/>
        <w:snapToGrid/>
        <w:spacing w:line="440" w:lineRule="exact"/>
        <w:jc w:val="right"/>
        <w:textAlignment w:val="auto"/>
        <w:rPr>
          <w:rFonts w:hint="eastAsia"/>
          <w:color w:val="auto"/>
          <w:highlight w:val="none"/>
        </w:rPr>
      </w:pPr>
      <w:r>
        <w:rPr>
          <w:rFonts w:hint="eastAsia"/>
          <w:color w:val="auto"/>
          <w:highlight w:val="none"/>
        </w:rPr>
        <w:t>2025年</w:t>
      </w:r>
      <w:r>
        <w:rPr>
          <w:rFonts w:hint="eastAsia"/>
          <w:color w:val="auto"/>
          <w:highlight w:val="none"/>
          <w:lang w:val="en-US" w:eastAsia="zh-CN"/>
        </w:rPr>
        <w:t>12</w:t>
      </w:r>
      <w:r>
        <w:rPr>
          <w:rFonts w:hint="eastAsia"/>
          <w:color w:val="auto"/>
          <w:highlight w:val="none"/>
        </w:rPr>
        <w:t>月</w:t>
      </w:r>
      <w:r>
        <w:rPr>
          <w:rFonts w:hint="eastAsia"/>
          <w:color w:val="auto"/>
          <w:highlight w:val="none"/>
          <w:lang w:val="en-US" w:eastAsia="zh-CN"/>
        </w:rPr>
        <w:t>15</w:t>
      </w:r>
      <w:r>
        <w:rPr>
          <w:rFonts w:hint="eastAsia"/>
          <w:color w:val="auto"/>
          <w:highlight w:val="none"/>
        </w:rPr>
        <w:t>日</w:t>
      </w:r>
    </w:p>
    <w:p w14:paraId="2B55F94D">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b/>
          <w:bCs/>
          <w:color w:val="auto"/>
          <w:sz w:val="28"/>
          <w:szCs w:val="28"/>
          <w:highlight w:val="none"/>
        </w:rPr>
      </w:pPr>
      <w:r>
        <w:rPr>
          <w:rFonts w:hint="eastAsia"/>
          <w:b/>
          <w:bCs/>
          <w:color w:val="auto"/>
          <w:sz w:val="28"/>
          <w:szCs w:val="28"/>
          <w:highlight w:val="none"/>
        </w:rPr>
        <w:br w:type="page"/>
      </w:r>
    </w:p>
    <w:p w14:paraId="228AF815">
      <w:pPr>
        <w:spacing w:line="300" w:lineRule="exact"/>
        <w:ind w:firstLine="0" w:firstLineChars="0"/>
        <w:rPr>
          <w:rFonts w:hint="eastAsia"/>
          <w:b/>
          <w:bCs/>
          <w:color w:val="auto"/>
          <w:sz w:val="28"/>
          <w:szCs w:val="28"/>
          <w:highlight w:val="none"/>
        </w:rPr>
      </w:pPr>
      <w:r>
        <w:rPr>
          <w:rFonts w:hint="eastAsia"/>
          <w:b/>
          <w:bCs/>
          <w:color w:val="auto"/>
          <w:sz w:val="28"/>
          <w:szCs w:val="28"/>
          <w:highlight w:val="none"/>
        </w:rPr>
        <w:t>附件：</w:t>
      </w:r>
    </w:p>
    <w:p w14:paraId="485BF740">
      <w:pPr>
        <w:spacing w:line="300" w:lineRule="atLeast"/>
        <w:ind w:firstLine="0" w:firstLineChars="0"/>
        <w:jc w:val="center"/>
        <w:rPr>
          <w:rFonts w:hint="eastAsia" w:eastAsia="宋体"/>
          <w:b/>
          <w:color w:val="auto"/>
          <w:sz w:val="36"/>
          <w:szCs w:val="36"/>
          <w:highlight w:val="none"/>
          <w:lang w:val="en-US" w:eastAsia="zh-CN"/>
        </w:rPr>
      </w:pPr>
      <w:r>
        <w:rPr>
          <w:rFonts w:hint="eastAsia"/>
          <w:b/>
          <w:color w:val="auto"/>
          <w:sz w:val="36"/>
          <w:szCs w:val="36"/>
          <w:highlight w:val="none"/>
        </w:rPr>
        <w:t>市场询价报价</w:t>
      </w:r>
      <w:r>
        <w:rPr>
          <w:rFonts w:hint="eastAsia"/>
          <w:b/>
          <w:color w:val="auto"/>
          <w:sz w:val="36"/>
          <w:szCs w:val="36"/>
          <w:highlight w:val="none"/>
          <w:lang w:val="en-US" w:eastAsia="zh-CN"/>
        </w:rPr>
        <w:t>表</w:t>
      </w:r>
    </w:p>
    <w:p w14:paraId="0B291FE1">
      <w:pPr>
        <w:pStyle w:val="4"/>
        <w:spacing w:after="0"/>
        <w:ind w:firstLine="482"/>
        <w:rPr>
          <w:rFonts w:hint="eastAsia"/>
          <w:b/>
          <w:bCs/>
          <w:color w:val="auto"/>
          <w:highlight w:val="none"/>
          <w:lang w:val="en-US" w:eastAsia="zh-CN"/>
        </w:rPr>
      </w:pPr>
      <w:r>
        <w:rPr>
          <w:rFonts w:hint="eastAsia"/>
          <w:b/>
          <w:bCs/>
          <w:color w:val="auto"/>
          <w:highlight w:val="none"/>
          <w:lang w:val="en-US" w:eastAsia="zh-CN"/>
        </w:rPr>
        <w:t>项目名称：启东市生态环境移动执法终端智能化升级改造项目</w:t>
      </w:r>
    </w:p>
    <w:tbl>
      <w:tblPr>
        <w:tblStyle w:val="8"/>
        <w:tblW w:w="543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1"/>
        <w:gridCol w:w="2556"/>
        <w:gridCol w:w="724"/>
        <w:gridCol w:w="724"/>
        <w:gridCol w:w="776"/>
        <w:gridCol w:w="1138"/>
        <w:gridCol w:w="1271"/>
        <w:gridCol w:w="1298"/>
      </w:tblGrid>
      <w:tr w14:paraId="2D248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8" w:hRule="exact"/>
          <w:jc w:val="center"/>
        </w:trPr>
        <w:tc>
          <w:tcPr>
            <w:tcW w:w="781" w:type="dxa"/>
            <w:tcBorders>
              <w:top w:val="single" w:color="auto" w:sz="4" w:space="0"/>
              <w:left w:val="single" w:color="auto" w:sz="4" w:space="0"/>
              <w:bottom w:val="single" w:color="auto" w:sz="4" w:space="0"/>
              <w:right w:val="single" w:color="auto" w:sz="4" w:space="0"/>
            </w:tcBorders>
            <w:vAlign w:val="center"/>
          </w:tcPr>
          <w:p w14:paraId="6DC903E1">
            <w:pPr>
              <w:pStyle w:val="32"/>
              <w:keepNext w:val="0"/>
              <w:keepLines w:val="0"/>
              <w:pageBreakBefore w:val="0"/>
              <w:widowControl/>
              <w:kinsoku/>
              <w:wordWrap/>
              <w:overflowPunct/>
              <w:topLinePunct w:val="0"/>
              <w:autoSpaceDE/>
              <w:autoSpaceDN/>
              <w:bidi w:val="0"/>
              <w:adjustRightInd/>
              <w:snapToGrid w:val="0"/>
              <w:spacing w:line="300" w:lineRule="exact"/>
              <w:contextualSpacing/>
              <w:jc w:val="center"/>
              <w:textAlignment w:val="auto"/>
              <w:rPr>
                <w:rFonts w:hint="eastAsia" w:asciiTheme="majorEastAsia" w:hAnsiTheme="majorEastAsia" w:eastAsiaTheme="majorEastAsia" w:cstheme="majorEastAsia"/>
                <w:b/>
                <w:bCs/>
                <w:color w:val="auto"/>
                <w:sz w:val="24"/>
                <w:szCs w:val="24"/>
              </w:rPr>
            </w:pPr>
            <w:r>
              <w:rPr>
                <w:rFonts w:hint="eastAsia" w:asciiTheme="majorEastAsia" w:hAnsiTheme="majorEastAsia" w:eastAsiaTheme="majorEastAsia" w:cstheme="majorEastAsia"/>
                <w:b/>
                <w:bCs/>
                <w:color w:val="auto"/>
                <w:sz w:val="24"/>
                <w:szCs w:val="24"/>
              </w:rPr>
              <w:t>序号</w:t>
            </w:r>
          </w:p>
        </w:tc>
        <w:tc>
          <w:tcPr>
            <w:tcW w:w="2556" w:type="dxa"/>
            <w:tcBorders>
              <w:top w:val="single" w:color="auto" w:sz="4" w:space="0"/>
              <w:left w:val="single" w:color="auto" w:sz="4" w:space="0"/>
              <w:bottom w:val="single" w:color="auto" w:sz="4" w:space="0"/>
              <w:right w:val="single" w:color="auto" w:sz="4" w:space="0"/>
            </w:tcBorders>
            <w:vAlign w:val="center"/>
          </w:tcPr>
          <w:p w14:paraId="427E8414">
            <w:pPr>
              <w:pStyle w:val="32"/>
              <w:keepNext w:val="0"/>
              <w:keepLines w:val="0"/>
              <w:pageBreakBefore w:val="0"/>
              <w:widowControl/>
              <w:kinsoku/>
              <w:wordWrap/>
              <w:overflowPunct/>
              <w:topLinePunct w:val="0"/>
              <w:autoSpaceDE/>
              <w:autoSpaceDN/>
              <w:bidi w:val="0"/>
              <w:adjustRightInd/>
              <w:snapToGrid w:val="0"/>
              <w:spacing w:line="300" w:lineRule="exact"/>
              <w:contextualSpacing/>
              <w:jc w:val="center"/>
              <w:textAlignment w:val="auto"/>
              <w:rPr>
                <w:rFonts w:hint="default" w:asciiTheme="majorEastAsia" w:hAnsiTheme="majorEastAsia" w:eastAsiaTheme="majorEastAsia" w:cstheme="majorEastAsia"/>
                <w:b/>
                <w:bCs/>
                <w:color w:val="auto"/>
                <w:sz w:val="24"/>
                <w:szCs w:val="24"/>
                <w:lang w:val="en-US" w:eastAsia="zh-CN"/>
              </w:rPr>
            </w:pPr>
            <w:r>
              <w:rPr>
                <w:rFonts w:hint="eastAsia" w:asciiTheme="majorEastAsia" w:hAnsiTheme="majorEastAsia" w:eastAsiaTheme="majorEastAsia" w:cstheme="majorEastAsia"/>
                <w:b/>
                <w:bCs/>
                <w:color w:val="auto"/>
                <w:sz w:val="24"/>
                <w:szCs w:val="24"/>
              </w:rPr>
              <w:t>建设内容</w:t>
            </w:r>
          </w:p>
        </w:tc>
        <w:tc>
          <w:tcPr>
            <w:tcW w:w="724" w:type="dxa"/>
            <w:tcBorders>
              <w:top w:val="single" w:color="auto" w:sz="4" w:space="0"/>
              <w:left w:val="single" w:color="auto" w:sz="4" w:space="0"/>
              <w:bottom w:val="single" w:color="auto" w:sz="4" w:space="0"/>
              <w:right w:val="single" w:color="auto" w:sz="4" w:space="0"/>
            </w:tcBorders>
            <w:vAlign w:val="center"/>
          </w:tcPr>
          <w:p w14:paraId="77A6A2B5">
            <w:pPr>
              <w:pStyle w:val="32"/>
              <w:keepNext w:val="0"/>
              <w:keepLines w:val="0"/>
              <w:pageBreakBefore w:val="0"/>
              <w:widowControl/>
              <w:kinsoku/>
              <w:wordWrap/>
              <w:overflowPunct/>
              <w:topLinePunct w:val="0"/>
              <w:autoSpaceDE/>
              <w:autoSpaceDN/>
              <w:bidi w:val="0"/>
              <w:adjustRightInd/>
              <w:snapToGrid w:val="0"/>
              <w:spacing w:line="300" w:lineRule="exact"/>
              <w:contextualSpacing/>
              <w:jc w:val="center"/>
              <w:textAlignment w:val="auto"/>
              <w:rPr>
                <w:rFonts w:hint="default" w:asciiTheme="majorEastAsia" w:hAnsiTheme="majorEastAsia" w:eastAsiaTheme="majorEastAsia" w:cstheme="majorEastAsia"/>
                <w:b/>
                <w:bCs/>
                <w:color w:val="auto"/>
                <w:sz w:val="24"/>
                <w:szCs w:val="24"/>
                <w:lang w:val="en-US" w:eastAsia="zh-CN"/>
              </w:rPr>
            </w:pPr>
            <w:r>
              <w:rPr>
                <w:rFonts w:hint="eastAsia" w:asciiTheme="majorEastAsia" w:hAnsiTheme="majorEastAsia" w:eastAsiaTheme="majorEastAsia" w:cstheme="majorEastAsia"/>
                <w:b/>
                <w:bCs/>
                <w:color w:val="auto"/>
                <w:sz w:val="24"/>
                <w:szCs w:val="24"/>
                <w:lang w:val="en-US" w:eastAsia="zh-CN"/>
              </w:rPr>
              <w:t>规格参数</w:t>
            </w:r>
          </w:p>
        </w:tc>
        <w:tc>
          <w:tcPr>
            <w:tcW w:w="724" w:type="dxa"/>
            <w:tcBorders>
              <w:top w:val="single" w:color="auto" w:sz="4" w:space="0"/>
              <w:left w:val="single" w:color="auto" w:sz="4" w:space="0"/>
              <w:bottom w:val="single" w:color="auto" w:sz="4" w:space="0"/>
              <w:right w:val="single" w:color="auto" w:sz="4" w:space="0"/>
            </w:tcBorders>
            <w:vAlign w:val="center"/>
          </w:tcPr>
          <w:p w14:paraId="3175CC00">
            <w:pPr>
              <w:pStyle w:val="32"/>
              <w:keepNext w:val="0"/>
              <w:keepLines w:val="0"/>
              <w:pageBreakBefore w:val="0"/>
              <w:widowControl/>
              <w:kinsoku/>
              <w:wordWrap/>
              <w:overflowPunct/>
              <w:topLinePunct w:val="0"/>
              <w:autoSpaceDE/>
              <w:autoSpaceDN/>
              <w:bidi w:val="0"/>
              <w:adjustRightInd/>
              <w:snapToGrid w:val="0"/>
              <w:spacing w:line="300" w:lineRule="exact"/>
              <w:contextualSpacing/>
              <w:jc w:val="center"/>
              <w:textAlignment w:val="auto"/>
              <w:rPr>
                <w:rFonts w:hint="eastAsia" w:asciiTheme="majorEastAsia" w:hAnsiTheme="majorEastAsia" w:eastAsiaTheme="majorEastAsia" w:cstheme="majorEastAsia"/>
                <w:b/>
                <w:bCs/>
                <w:color w:val="auto"/>
                <w:sz w:val="24"/>
                <w:szCs w:val="24"/>
              </w:rPr>
            </w:pPr>
            <w:r>
              <w:rPr>
                <w:rFonts w:hint="eastAsia" w:asciiTheme="majorEastAsia" w:hAnsiTheme="majorEastAsia" w:eastAsiaTheme="majorEastAsia" w:cstheme="majorEastAsia"/>
                <w:b/>
                <w:bCs/>
                <w:color w:val="auto"/>
                <w:sz w:val="24"/>
                <w:szCs w:val="24"/>
              </w:rPr>
              <w:t>数量</w:t>
            </w:r>
          </w:p>
        </w:tc>
        <w:tc>
          <w:tcPr>
            <w:tcW w:w="776" w:type="dxa"/>
            <w:tcBorders>
              <w:top w:val="single" w:color="auto" w:sz="4" w:space="0"/>
              <w:left w:val="single" w:color="auto" w:sz="4" w:space="0"/>
              <w:bottom w:val="single" w:color="auto" w:sz="4" w:space="0"/>
              <w:right w:val="single" w:color="auto" w:sz="4" w:space="0"/>
            </w:tcBorders>
            <w:vAlign w:val="center"/>
          </w:tcPr>
          <w:p w14:paraId="5700F315">
            <w:pPr>
              <w:pStyle w:val="32"/>
              <w:keepNext w:val="0"/>
              <w:keepLines w:val="0"/>
              <w:pageBreakBefore w:val="0"/>
              <w:widowControl/>
              <w:kinsoku/>
              <w:wordWrap/>
              <w:overflowPunct/>
              <w:topLinePunct w:val="0"/>
              <w:autoSpaceDE/>
              <w:autoSpaceDN/>
              <w:bidi w:val="0"/>
              <w:adjustRightInd/>
              <w:snapToGrid w:val="0"/>
              <w:spacing w:line="300" w:lineRule="exact"/>
              <w:contextualSpacing/>
              <w:jc w:val="center"/>
              <w:textAlignment w:val="auto"/>
              <w:rPr>
                <w:rFonts w:hint="eastAsia" w:asciiTheme="majorEastAsia" w:hAnsiTheme="majorEastAsia" w:eastAsiaTheme="majorEastAsia" w:cstheme="majorEastAsia"/>
                <w:b/>
                <w:bCs/>
                <w:color w:val="auto"/>
                <w:sz w:val="24"/>
                <w:szCs w:val="24"/>
              </w:rPr>
            </w:pPr>
            <w:r>
              <w:rPr>
                <w:rFonts w:hint="eastAsia" w:asciiTheme="majorEastAsia" w:hAnsiTheme="majorEastAsia" w:eastAsiaTheme="majorEastAsia" w:cstheme="majorEastAsia"/>
                <w:b/>
                <w:bCs/>
                <w:color w:val="auto"/>
                <w:sz w:val="24"/>
                <w:szCs w:val="24"/>
              </w:rPr>
              <w:t>单位</w:t>
            </w:r>
          </w:p>
        </w:tc>
        <w:tc>
          <w:tcPr>
            <w:tcW w:w="1138" w:type="dxa"/>
            <w:tcBorders>
              <w:top w:val="single" w:color="auto" w:sz="4" w:space="0"/>
              <w:left w:val="single" w:color="auto" w:sz="4" w:space="0"/>
              <w:bottom w:val="single" w:color="auto" w:sz="4" w:space="0"/>
              <w:right w:val="single" w:color="auto" w:sz="4" w:space="0"/>
            </w:tcBorders>
            <w:vAlign w:val="center"/>
          </w:tcPr>
          <w:p w14:paraId="725DB978">
            <w:pPr>
              <w:pStyle w:val="32"/>
              <w:keepNext w:val="0"/>
              <w:keepLines w:val="0"/>
              <w:pageBreakBefore w:val="0"/>
              <w:widowControl/>
              <w:kinsoku/>
              <w:wordWrap/>
              <w:overflowPunct/>
              <w:topLinePunct w:val="0"/>
              <w:autoSpaceDE/>
              <w:autoSpaceDN/>
              <w:bidi w:val="0"/>
              <w:adjustRightInd/>
              <w:snapToGrid w:val="0"/>
              <w:spacing w:line="300" w:lineRule="exact"/>
              <w:contextualSpacing/>
              <w:jc w:val="center"/>
              <w:textAlignment w:val="auto"/>
              <w:rPr>
                <w:rFonts w:hint="default" w:asciiTheme="majorEastAsia" w:hAnsiTheme="majorEastAsia" w:eastAsiaTheme="majorEastAsia" w:cstheme="majorEastAsia"/>
                <w:b/>
                <w:bCs/>
                <w:color w:val="auto"/>
                <w:sz w:val="24"/>
                <w:szCs w:val="24"/>
                <w:lang w:val="en-US" w:eastAsia="zh-CN"/>
              </w:rPr>
            </w:pPr>
            <w:r>
              <w:rPr>
                <w:rFonts w:hint="eastAsia" w:asciiTheme="majorEastAsia" w:hAnsiTheme="majorEastAsia" w:eastAsiaTheme="majorEastAsia" w:cstheme="majorEastAsia"/>
                <w:b/>
                <w:bCs/>
                <w:color w:val="auto"/>
                <w:sz w:val="24"/>
                <w:szCs w:val="24"/>
                <w:lang w:val="en-US" w:eastAsia="zh-CN"/>
              </w:rPr>
              <w:t>品牌及型号</w:t>
            </w:r>
          </w:p>
        </w:tc>
        <w:tc>
          <w:tcPr>
            <w:tcW w:w="1271" w:type="dxa"/>
            <w:tcBorders>
              <w:top w:val="single" w:color="auto" w:sz="4" w:space="0"/>
              <w:left w:val="single" w:color="auto" w:sz="4" w:space="0"/>
              <w:bottom w:val="single" w:color="auto" w:sz="4" w:space="0"/>
              <w:right w:val="single" w:color="auto" w:sz="4" w:space="0"/>
            </w:tcBorders>
            <w:vAlign w:val="center"/>
          </w:tcPr>
          <w:p w14:paraId="041AE9E7">
            <w:pPr>
              <w:pStyle w:val="32"/>
              <w:keepNext w:val="0"/>
              <w:keepLines w:val="0"/>
              <w:pageBreakBefore w:val="0"/>
              <w:widowControl/>
              <w:kinsoku/>
              <w:wordWrap/>
              <w:overflowPunct/>
              <w:topLinePunct w:val="0"/>
              <w:autoSpaceDE/>
              <w:autoSpaceDN/>
              <w:bidi w:val="0"/>
              <w:adjustRightInd/>
              <w:snapToGrid w:val="0"/>
              <w:spacing w:line="300" w:lineRule="exact"/>
              <w:contextualSpacing/>
              <w:jc w:val="center"/>
              <w:textAlignment w:val="auto"/>
              <w:rPr>
                <w:rFonts w:hint="eastAsia" w:asciiTheme="majorEastAsia" w:hAnsiTheme="majorEastAsia" w:eastAsiaTheme="majorEastAsia" w:cstheme="majorEastAsia"/>
                <w:b/>
                <w:bCs/>
                <w:color w:val="auto"/>
                <w:sz w:val="24"/>
                <w:szCs w:val="24"/>
              </w:rPr>
            </w:pPr>
            <w:r>
              <w:rPr>
                <w:rFonts w:hint="eastAsia" w:asciiTheme="majorEastAsia" w:hAnsiTheme="majorEastAsia" w:eastAsiaTheme="majorEastAsia" w:cstheme="majorEastAsia"/>
                <w:b/>
                <w:bCs/>
                <w:color w:val="auto"/>
                <w:sz w:val="24"/>
                <w:szCs w:val="24"/>
                <w:lang w:val="en-US" w:eastAsia="zh-CN"/>
              </w:rPr>
              <w:t>单价/元</w:t>
            </w:r>
          </w:p>
        </w:tc>
        <w:tc>
          <w:tcPr>
            <w:tcW w:w="1298" w:type="dxa"/>
            <w:tcBorders>
              <w:top w:val="single" w:color="auto" w:sz="4" w:space="0"/>
              <w:left w:val="single" w:color="auto" w:sz="4" w:space="0"/>
              <w:bottom w:val="single" w:color="auto" w:sz="4" w:space="0"/>
              <w:right w:val="single" w:color="auto" w:sz="4" w:space="0"/>
            </w:tcBorders>
            <w:vAlign w:val="center"/>
          </w:tcPr>
          <w:p w14:paraId="162CA975">
            <w:pPr>
              <w:pStyle w:val="32"/>
              <w:keepNext w:val="0"/>
              <w:keepLines w:val="0"/>
              <w:pageBreakBefore w:val="0"/>
              <w:widowControl/>
              <w:kinsoku/>
              <w:wordWrap/>
              <w:overflowPunct/>
              <w:topLinePunct w:val="0"/>
              <w:autoSpaceDE/>
              <w:autoSpaceDN/>
              <w:bidi w:val="0"/>
              <w:adjustRightInd/>
              <w:snapToGrid w:val="0"/>
              <w:spacing w:line="300" w:lineRule="exact"/>
              <w:contextualSpacing/>
              <w:jc w:val="center"/>
              <w:textAlignment w:val="auto"/>
              <w:rPr>
                <w:rFonts w:hint="eastAsia" w:asciiTheme="majorEastAsia" w:hAnsiTheme="majorEastAsia" w:eastAsiaTheme="majorEastAsia" w:cstheme="majorEastAsia"/>
                <w:b/>
                <w:bCs/>
                <w:color w:val="auto"/>
                <w:sz w:val="24"/>
                <w:szCs w:val="24"/>
              </w:rPr>
            </w:pPr>
            <w:r>
              <w:rPr>
                <w:rFonts w:hint="eastAsia" w:asciiTheme="majorEastAsia" w:hAnsiTheme="majorEastAsia" w:eastAsiaTheme="majorEastAsia" w:cstheme="majorEastAsia"/>
                <w:b/>
                <w:bCs/>
                <w:color w:val="auto"/>
                <w:sz w:val="24"/>
                <w:szCs w:val="24"/>
                <w:lang w:val="en-US" w:eastAsia="zh-CN"/>
              </w:rPr>
              <w:t>小计/元</w:t>
            </w:r>
          </w:p>
        </w:tc>
      </w:tr>
      <w:tr w14:paraId="14DE2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2" w:hRule="exact"/>
          <w:jc w:val="center"/>
        </w:trPr>
        <w:tc>
          <w:tcPr>
            <w:tcW w:w="781" w:type="dxa"/>
            <w:tcBorders>
              <w:left w:val="single" w:color="auto" w:sz="4" w:space="0"/>
              <w:right w:val="single" w:color="auto" w:sz="4" w:space="0"/>
            </w:tcBorders>
            <w:vAlign w:val="center"/>
          </w:tcPr>
          <w:p w14:paraId="23C700CA">
            <w:pPr>
              <w:pStyle w:val="32"/>
              <w:keepNext w:val="0"/>
              <w:keepLines w:val="0"/>
              <w:pageBreakBefore w:val="0"/>
              <w:widowControl/>
              <w:kinsoku/>
              <w:wordWrap/>
              <w:overflowPunct/>
              <w:topLinePunct w:val="0"/>
              <w:autoSpaceDE/>
              <w:autoSpaceDN/>
              <w:bidi w:val="0"/>
              <w:adjustRightInd/>
              <w:snapToGrid w:val="0"/>
              <w:spacing w:line="300" w:lineRule="exact"/>
              <w:contextualSpacing/>
              <w:jc w:val="center"/>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1</w:t>
            </w:r>
          </w:p>
        </w:tc>
        <w:tc>
          <w:tcPr>
            <w:tcW w:w="2556" w:type="dxa"/>
            <w:tcBorders>
              <w:top w:val="single" w:color="auto" w:sz="4" w:space="0"/>
              <w:left w:val="single" w:color="auto" w:sz="4" w:space="0"/>
              <w:right w:val="single" w:color="auto" w:sz="4" w:space="0"/>
            </w:tcBorders>
            <w:vAlign w:val="center"/>
          </w:tcPr>
          <w:p w14:paraId="1A9CC422">
            <w:pPr>
              <w:pStyle w:val="32"/>
              <w:keepNext w:val="0"/>
              <w:keepLines w:val="0"/>
              <w:pageBreakBefore w:val="0"/>
              <w:widowControl/>
              <w:kinsoku/>
              <w:wordWrap/>
              <w:overflowPunct/>
              <w:topLinePunct w:val="0"/>
              <w:autoSpaceDE/>
              <w:autoSpaceDN/>
              <w:bidi w:val="0"/>
              <w:adjustRightInd/>
              <w:snapToGrid w:val="0"/>
              <w:spacing w:line="300" w:lineRule="exact"/>
              <w:contextualSpacing/>
              <w:jc w:val="center"/>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平板（包含键盘套和触屏笔）</w:t>
            </w:r>
          </w:p>
        </w:tc>
        <w:tc>
          <w:tcPr>
            <w:tcW w:w="724" w:type="dxa"/>
            <w:vMerge w:val="restart"/>
            <w:tcBorders>
              <w:top w:val="single" w:color="auto" w:sz="4" w:space="0"/>
              <w:left w:val="single" w:color="auto" w:sz="4" w:space="0"/>
              <w:right w:val="single" w:color="auto" w:sz="4" w:space="0"/>
            </w:tcBorders>
            <w:vAlign w:val="center"/>
          </w:tcPr>
          <w:p w14:paraId="55F6DBE4">
            <w:pPr>
              <w:pStyle w:val="32"/>
              <w:keepNext w:val="0"/>
              <w:keepLines w:val="0"/>
              <w:pageBreakBefore w:val="0"/>
              <w:widowControl/>
              <w:kinsoku/>
              <w:wordWrap/>
              <w:overflowPunct/>
              <w:topLinePunct w:val="0"/>
              <w:autoSpaceDE/>
              <w:autoSpaceDN/>
              <w:bidi w:val="0"/>
              <w:adjustRightInd/>
              <w:snapToGrid w:val="0"/>
              <w:spacing w:line="300" w:lineRule="exact"/>
              <w:contextualSpacing/>
              <w:jc w:val="center"/>
              <w:textAlignment w:val="auto"/>
              <w:rPr>
                <w:rFonts w:hint="default"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详见市场询价公告</w:t>
            </w:r>
          </w:p>
        </w:tc>
        <w:tc>
          <w:tcPr>
            <w:tcW w:w="724" w:type="dxa"/>
            <w:tcBorders>
              <w:top w:val="single" w:color="auto" w:sz="4" w:space="0"/>
              <w:left w:val="single" w:color="auto" w:sz="4" w:space="0"/>
              <w:right w:val="single" w:color="auto" w:sz="4" w:space="0"/>
            </w:tcBorders>
            <w:vAlign w:val="center"/>
          </w:tcPr>
          <w:p w14:paraId="235FEEF6">
            <w:pPr>
              <w:pStyle w:val="32"/>
              <w:keepNext w:val="0"/>
              <w:keepLines w:val="0"/>
              <w:pageBreakBefore w:val="0"/>
              <w:widowControl/>
              <w:kinsoku/>
              <w:wordWrap/>
              <w:overflowPunct/>
              <w:topLinePunct w:val="0"/>
              <w:autoSpaceDE/>
              <w:autoSpaceDN/>
              <w:bidi w:val="0"/>
              <w:adjustRightInd/>
              <w:snapToGrid w:val="0"/>
              <w:spacing w:line="300" w:lineRule="exact"/>
              <w:contextualSpacing/>
              <w:jc w:val="center"/>
              <w:textAlignment w:val="auto"/>
              <w:rPr>
                <w:rFonts w:hint="default"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22</w:t>
            </w:r>
          </w:p>
        </w:tc>
        <w:tc>
          <w:tcPr>
            <w:tcW w:w="776" w:type="dxa"/>
            <w:tcBorders>
              <w:top w:val="single" w:color="auto" w:sz="4" w:space="0"/>
              <w:left w:val="single" w:color="auto" w:sz="4" w:space="0"/>
              <w:right w:val="single" w:color="auto" w:sz="4" w:space="0"/>
            </w:tcBorders>
            <w:vAlign w:val="center"/>
          </w:tcPr>
          <w:p w14:paraId="582233BD">
            <w:pPr>
              <w:pStyle w:val="32"/>
              <w:keepNext w:val="0"/>
              <w:keepLines w:val="0"/>
              <w:pageBreakBefore w:val="0"/>
              <w:widowControl/>
              <w:kinsoku/>
              <w:wordWrap/>
              <w:overflowPunct/>
              <w:topLinePunct w:val="0"/>
              <w:autoSpaceDE/>
              <w:autoSpaceDN/>
              <w:bidi w:val="0"/>
              <w:adjustRightInd/>
              <w:snapToGrid w:val="0"/>
              <w:spacing w:line="300" w:lineRule="exact"/>
              <w:contextualSpacing/>
              <w:jc w:val="center"/>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个</w:t>
            </w:r>
          </w:p>
        </w:tc>
        <w:tc>
          <w:tcPr>
            <w:tcW w:w="1138" w:type="dxa"/>
            <w:tcBorders>
              <w:top w:val="single" w:color="auto" w:sz="4" w:space="0"/>
              <w:left w:val="single" w:color="auto" w:sz="4" w:space="0"/>
              <w:right w:val="single" w:color="auto" w:sz="4" w:space="0"/>
            </w:tcBorders>
            <w:vAlign w:val="center"/>
          </w:tcPr>
          <w:p w14:paraId="718EFCF7">
            <w:pPr>
              <w:pStyle w:val="32"/>
              <w:keepNext w:val="0"/>
              <w:keepLines w:val="0"/>
              <w:pageBreakBefore w:val="0"/>
              <w:widowControl/>
              <w:kinsoku/>
              <w:wordWrap/>
              <w:overflowPunct/>
              <w:topLinePunct w:val="0"/>
              <w:autoSpaceDE/>
              <w:autoSpaceDN/>
              <w:bidi w:val="0"/>
              <w:adjustRightInd/>
              <w:snapToGrid w:val="0"/>
              <w:spacing w:line="300" w:lineRule="exact"/>
              <w:contextualSpacing/>
              <w:jc w:val="center"/>
              <w:textAlignment w:val="auto"/>
              <w:rPr>
                <w:rFonts w:hint="eastAsia" w:asciiTheme="majorEastAsia" w:hAnsiTheme="majorEastAsia" w:eastAsiaTheme="majorEastAsia" w:cstheme="majorEastAsia"/>
                <w:color w:val="auto"/>
                <w:sz w:val="24"/>
                <w:szCs w:val="24"/>
                <w:lang w:val="en-US" w:eastAsia="zh-CN"/>
              </w:rPr>
            </w:pPr>
          </w:p>
        </w:tc>
        <w:tc>
          <w:tcPr>
            <w:tcW w:w="1271" w:type="dxa"/>
            <w:tcBorders>
              <w:top w:val="single" w:color="auto" w:sz="4" w:space="0"/>
              <w:left w:val="single" w:color="auto" w:sz="4" w:space="0"/>
              <w:right w:val="single" w:color="auto" w:sz="4" w:space="0"/>
            </w:tcBorders>
            <w:vAlign w:val="center"/>
          </w:tcPr>
          <w:p w14:paraId="6208D3CE">
            <w:pPr>
              <w:pStyle w:val="32"/>
              <w:keepNext w:val="0"/>
              <w:keepLines w:val="0"/>
              <w:pageBreakBefore w:val="0"/>
              <w:widowControl/>
              <w:kinsoku/>
              <w:wordWrap/>
              <w:overflowPunct/>
              <w:topLinePunct w:val="0"/>
              <w:autoSpaceDE/>
              <w:autoSpaceDN/>
              <w:bidi w:val="0"/>
              <w:adjustRightInd/>
              <w:snapToGrid w:val="0"/>
              <w:spacing w:line="300" w:lineRule="exact"/>
              <w:contextualSpacing/>
              <w:jc w:val="center"/>
              <w:textAlignment w:val="auto"/>
              <w:rPr>
                <w:rFonts w:hint="eastAsia" w:asciiTheme="majorEastAsia" w:hAnsiTheme="majorEastAsia" w:eastAsiaTheme="majorEastAsia" w:cstheme="majorEastAsia"/>
                <w:color w:val="auto"/>
                <w:sz w:val="24"/>
                <w:szCs w:val="24"/>
                <w:lang w:val="en-US" w:eastAsia="zh-CN"/>
              </w:rPr>
            </w:pPr>
          </w:p>
        </w:tc>
        <w:tc>
          <w:tcPr>
            <w:tcW w:w="1298" w:type="dxa"/>
            <w:tcBorders>
              <w:top w:val="single" w:color="auto" w:sz="4" w:space="0"/>
              <w:left w:val="single" w:color="auto" w:sz="4" w:space="0"/>
              <w:right w:val="single" w:color="auto" w:sz="4" w:space="0"/>
            </w:tcBorders>
            <w:vAlign w:val="center"/>
          </w:tcPr>
          <w:p w14:paraId="2F842E01">
            <w:pPr>
              <w:pStyle w:val="32"/>
              <w:keepNext w:val="0"/>
              <w:keepLines w:val="0"/>
              <w:pageBreakBefore w:val="0"/>
              <w:widowControl/>
              <w:kinsoku/>
              <w:wordWrap/>
              <w:overflowPunct/>
              <w:topLinePunct w:val="0"/>
              <w:autoSpaceDE/>
              <w:autoSpaceDN/>
              <w:bidi w:val="0"/>
              <w:adjustRightInd/>
              <w:snapToGrid w:val="0"/>
              <w:spacing w:line="300" w:lineRule="exact"/>
              <w:contextualSpacing/>
              <w:jc w:val="center"/>
              <w:textAlignment w:val="auto"/>
              <w:rPr>
                <w:rFonts w:hint="eastAsia" w:asciiTheme="majorEastAsia" w:hAnsiTheme="majorEastAsia" w:eastAsiaTheme="majorEastAsia" w:cstheme="majorEastAsia"/>
                <w:color w:val="auto"/>
                <w:sz w:val="24"/>
                <w:szCs w:val="24"/>
                <w:lang w:val="en-US" w:eastAsia="zh-CN"/>
              </w:rPr>
            </w:pPr>
          </w:p>
        </w:tc>
      </w:tr>
      <w:tr w14:paraId="1BFDB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2" w:hRule="exact"/>
          <w:jc w:val="center"/>
        </w:trPr>
        <w:tc>
          <w:tcPr>
            <w:tcW w:w="781" w:type="dxa"/>
            <w:tcBorders>
              <w:left w:val="single" w:color="auto" w:sz="4" w:space="0"/>
              <w:right w:val="single" w:color="auto" w:sz="4" w:space="0"/>
            </w:tcBorders>
            <w:vAlign w:val="center"/>
          </w:tcPr>
          <w:p w14:paraId="01347649">
            <w:pPr>
              <w:pStyle w:val="32"/>
              <w:keepNext w:val="0"/>
              <w:keepLines w:val="0"/>
              <w:pageBreakBefore w:val="0"/>
              <w:widowControl/>
              <w:kinsoku/>
              <w:wordWrap/>
              <w:overflowPunct/>
              <w:topLinePunct w:val="0"/>
              <w:autoSpaceDE/>
              <w:autoSpaceDN/>
              <w:bidi w:val="0"/>
              <w:adjustRightInd/>
              <w:snapToGrid w:val="0"/>
              <w:spacing w:line="300" w:lineRule="exact"/>
              <w:contextualSpacing/>
              <w:jc w:val="center"/>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2</w:t>
            </w:r>
          </w:p>
        </w:tc>
        <w:tc>
          <w:tcPr>
            <w:tcW w:w="2556" w:type="dxa"/>
            <w:tcBorders>
              <w:top w:val="single" w:color="auto" w:sz="4" w:space="0"/>
              <w:left w:val="single" w:color="auto" w:sz="4" w:space="0"/>
              <w:right w:val="single" w:color="auto" w:sz="4" w:space="0"/>
            </w:tcBorders>
            <w:vAlign w:val="center"/>
          </w:tcPr>
          <w:p w14:paraId="375554A0">
            <w:pPr>
              <w:pStyle w:val="32"/>
              <w:keepNext w:val="0"/>
              <w:keepLines w:val="0"/>
              <w:pageBreakBefore w:val="0"/>
              <w:widowControl/>
              <w:kinsoku/>
              <w:wordWrap/>
              <w:overflowPunct/>
              <w:topLinePunct w:val="0"/>
              <w:autoSpaceDE/>
              <w:autoSpaceDN/>
              <w:bidi w:val="0"/>
              <w:adjustRightInd/>
              <w:snapToGrid w:val="0"/>
              <w:spacing w:line="300" w:lineRule="exact"/>
              <w:contextualSpacing/>
              <w:jc w:val="center"/>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执法记录仪（加配一块电板）</w:t>
            </w:r>
          </w:p>
        </w:tc>
        <w:tc>
          <w:tcPr>
            <w:tcW w:w="724" w:type="dxa"/>
            <w:vMerge w:val="continue"/>
            <w:tcBorders>
              <w:left w:val="single" w:color="auto" w:sz="4" w:space="0"/>
              <w:right w:val="single" w:color="auto" w:sz="4" w:space="0"/>
            </w:tcBorders>
            <w:vAlign w:val="center"/>
          </w:tcPr>
          <w:p w14:paraId="7720EF37">
            <w:pPr>
              <w:pStyle w:val="32"/>
              <w:keepNext w:val="0"/>
              <w:keepLines w:val="0"/>
              <w:pageBreakBefore w:val="0"/>
              <w:widowControl/>
              <w:kinsoku/>
              <w:wordWrap/>
              <w:overflowPunct/>
              <w:topLinePunct w:val="0"/>
              <w:autoSpaceDE/>
              <w:autoSpaceDN/>
              <w:bidi w:val="0"/>
              <w:adjustRightInd/>
              <w:snapToGrid w:val="0"/>
              <w:spacing w:line="300" w:lineRule="exact"/>
              <w:contextualSpacing/>
              <w:jc w:val="center"/>
              <w:textAlignment w:val="auto"/>
              <w:rPr>
                <w:rFonts w:hint="eastAsia" w:asciiTheme="majorEastAsia" w:hAnsiTheme="majorEastAsia" w:eastAsiaTheme="majorEastAsia" w:cstheme="majorEastAsia"/>
                <w:color w:val="auto"/>
                <w:sz w:val="24"/>
                <w:szCs w:val="24"/>
              </w:rPr>
            </w:pPr>
          </w:p>
        </w:tc>
        <w:tc>
          <w:tcPr>
            <w:tcW w:w="724" w:type="dxa"/>
            <w:tcBorders>
              <w:top w:val="single" w:color="auto" w:sz="4" w:space="0"/>
              <w:left w:val="single" w:color="auto" w:sz="4" w:space="0"/>
              <w:right w:val="single" w:color="auto" w:sz="4" w:space="0"/>
            </w:tcBorders>
            <w:vAlign w:val="center"/>
          </w:tcPr>
          <w:p w14:paraId="4E191B48">
            <w:pPr>
              <w:pStyle w:val="32"/>
              <w:keepNext w:val="0"/>
              <w:keepLines w:val="0"/>
              <w:pageBreakBefore w:val="0"/>
              <w:widowControl/>
              <w:kinsoku/>
              <w:wordWrap/>
              <w:overflowPunct/>
              <w:topLinePunct w:val="0"/>
              <w:autoSpaceDE/>
              <w:autoSpaceDN/>
              <w:bidi w:val="0"/>
              <w:adjustRightInd/>
              <w:snapToGrid w:val="0"/>
              <w:spacing w:line="300" w:lineRule="exact"/>
              <w:contextualSpacing/>
              <w:jc w:val="center"/>
              <w:textAlignment w:val="auto"/>
              <w:rPr>
                <w:rFonts w:hint="default"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40</w:t>
            </w:r>
          </w:p>
        </w:tc>
        <w:tc>
          <w:tcPr>
            <w:tcW w:w="776" w:type="dxa"/>
            <w:tcBorders>
              <w:top w:val="single" w:color="auto" w:sz="4" w:space="0"/>
              <w:left w:val="single" w:color="auto" w:sz="4" w:space="0"/>
              <w:right w:val="single" w:color="auto" w:sz="4" w:space="0"/>
            </w:tcBorders>
            <w:vAlign w:val="center"/>
          </w:tcPr>
          <w:p w14:paraId="30EBD1BC">
            <w:pPr>
              <w:pStyle w:val="32"/>
              <w:keepNext w:val="0"/>
              <w:keepLines w:val="0"/>
              <w:pageBreakBefore w:val="0"/>
              <w:widowControl/>
              <w:kinsoku/>
              <w:wordWrap/>
              <w:overflowPunct/>
              <w:topLinePunct w:val="0"/>
              <w:autoSpaceDE/>
              <w:autoSpaceDN/>
              <w:bidi w:val="0"/>
              <w:adjustRightInd/>
              <w:snapToGrid w:val="0"/>
              <w:spacing w:line="300" w:lineRule="exact"/>
              <w:contextualSpacing/>
              <w:jc w:val="center"/>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个</w:t>
            </w:r>
          </w:p>
        </w:tc>
        <w:tc>
          <w:tcPr>
            <w:tcW w:w="1138" w:type="dxa"/>
            <w:tcBorders>
              <w:top w:val="single" w:color="auto" w:sz="4" w:space="0"/>
              <w:left w:val="single" w:color="auto" w:sz="4" w:space="0"/>
              <w:right w:val="single" w:color="auto" w:sz="4" w:space="0"/>
            </w:tcBorders>
            <w:vAlign w:val="center"/>
          </w:tcPr>
          <w:p w14:paraId="1FB51C28">
            <w:pPr>
              <w:pStyle w:val="32"/>
              <w:keepNext w:val="0"/>
              <w:keepLines w:val="0"/>
              <w:pageBreakBefore w:val="0"/>
              <w:widowControl/>
              <w:kinsoku/>
              <w:wordWrap/>
              <w:overflowPunct/>
              <w:topLinePunct w:val="0"/>
              <w:autoSpaceDE/>
              <w:autoSpaceDN/>
              <w:bidi w:val="0"/>
              <w:adjustRightInd/>
              <w:snapToGrid w:val="0"/>
              <w:spacing w:line="300" w:lineRule="exact"/>
              <w:contextualSpacing/>
              <w:jc w:val="center"/>
              <w:textAlignment w:val="auto"/>
              <w:rPr>
                <w:rFonts w:hint="eastAsia" w:asciiTheme="majorEastAsia" w:hAnsiTheme="majorEastAsia" w:eastAsiaTheme="majorEastAsia" w:cstheme="majorEastAsia"/>
                <w:color w:val="auto"/>
                <w:sz w:val="24"/>
                <w:szCs w:val="24"/>
                <w:lang w:val="en-US" w:eastAsia="zh-CN"/>
              </w:rPr>
            </w:pPr>
          </w:p>
        </w:tc>
        <w:tc>
          <w:tcPr>
            <w:tcW w:w="1271" w:type="dxa"/>
            <w:tcBorders>
              <w:top w:val="single" w:color="auto" w:sz="4" w:space="0"/>
              <w:left w:val="single" w:color="auto" w:sz="4" w:space="0"/>
              <w:right w:val="single" w:color="auto" w:sz="4" w:space="0"/>
            </w:tcBorders>
            <w:vAlign w:val="center"/>
          </w:tcPr>
          <w:p w14:paraId="5FE55794">
            <w:pPr>
              <w:pStyle w:val="32"/>
              <w:keepNext w:val="0"/>
              <w:keepLines w:val="0"/>
              <w:pageBreakBefore w:val="0"/>
              <w:widowControl/>
              <w:kinsoku/>
              <w:wordWrap/>
              <w:overflowPunct/>
              <w:topLinePunct w:val="0"/>
              <w:autoSpaceDE/>
              <w:autoSpaceDN/>
              <w:bidi w:val="0"/>
              <w:adjustRightInd/>
              <w:snapToGrid w:val="0"/>
              <w:spacing w:line="300" w:lineRule="exact"/>
              <w:contextualSpacing/>
              <w:jc w:val="center"/>
              <w:textAlignment w:val="auto"/>
              <w:rPr>
                <w:rFonts w:hint="eastAsia" w:asciiTheme="majorEastAsia" w:hAnsiTheme="majorEastAsia" w:eastAsiaTheme="majorEastAsia" w:cstheme="majorEastAsia"/>
                <w:color w:val="auto"/>
                <w:sz w:val="24"/>
                <w:szCs w:val="24"/>
                <w:lang w:val="en-US" w:eastAsia="zh-CN"/>
              </w:rPr>
            </w:pPr>
          </w:p>
        </w:tc>
        <w:tc>
          <w:tcPr>
            <w:tcW w:w="1298" w:type="dxa"/>
            <w:tcBorders>
              <w:top w:val="single" w:color="auto" w:sz="4" w:space="0"/>
              <w:left w:val="single" w:color="auto" w:sz="4" w:space="0"/>
              <w:right w:val="single" w:color="auto" w:sz="4" w:space="0"/>
            </w:tcBorders>
            <w:vAlign w:val="center"/>
          </w:tcPr>
          <w:p w14:paraId="6AF30A14">
            <w:pPr>
              <w:pStyle w:val="32"/>
              <w:keepNext w:val="0"/>
              <w:keepLines w:val="0"/>
              <w:pageBreakBefore w:val="0"/>
              <w:widowControl/>
              <w:kinsoku/>
              <w:wordWrap/>
              <w:overflowPunct/>
              <w:topLinePunct w:val="0"/>
              <w:autoSpaceDE/>
              <w:autoSpaceDN/>
              <w:bidi w:val="0"/>
              <w:adjustRightInd/>
              <w:snapToGrid w:val="0"/>
              <w:spacing w:line="300" w:lineRule="exact"/>
              <w:contextualSpacing/>
              <w:jc w:val="center"/>
              <w:textAlignment w:val="auto"/>
              <w:rPr>
                <w:rFonts w:hint="eastAsia" w:asciiTheme="majorEastAsia" w:hAnsiTheme="majorEastAsia" w:eastAsiaTheme="majorEastAsia" w:cstheme="majorEastAsia"/>
                <w:color w:val="auto"/>
                <w:sz w:val="24"/>
                <w:szCs w:val="24"/>
                <w:lang w:val="en-US" w:eastAsia="zh-CN"/>
              </w:rPr>
            </w:pPr>
          </w:p>
        </w:tc>
      </w:tr>
      <w:tr w14:paraId="43F51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7" w:hRule="exact"/>
          <w:jc w:val="center"/>
        </w:trPr>
        <w:tc>
          <w:tcPr>
            <w:tcW w:w="781" w:type="dxa"/>
            <w:tcBorders>
              <w:left w:val="single" w:color="auto" w:sz="4" w:space="0"/>
              <w:right w:val="single" w:color="auto" w:sz="4" w:space="0"/>
            </w:tcBorders>
            <w:vAlign w:val="center"/>
          </w:tcPr>
          <w:p w14:paraId="5C5BD584">
            <w:pPr>
              <w:pStyle w:val="32"/>
              <w:keepNext w:val="0"/>
              <w:keepLines w:val="0"/>
              <w:pageBreakBefore w:val="0"/>
              <w:widowControl/>
              <w:kinsoku/>
              <w:wordWrap/>
              <w:overflowPunct/>
              <w:topLinePunct w:val="0"/>
              <w:autoSpaceDE/>
              <w:autoSpaceDN/>
              <w:bidi w:val="0"/>
              <w:adjustRightInd/>
              <w:snapToGrid w:val="0"/>
              <w:spacing w:line="300" w:lineRule="exact"/>
              <w:contextualSpacing/>
              <w:jc w:val="center"/>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3</w:t>
            </w:r>
          </w:p>
        </w:tc>
        <w:tc>
          <w:tcPr>
            <w:tcW w:w="2556" w:type="dxa"/>
            <w:tcBorders>
              <w:top w:val="single" w:color="auto" w:sz="4" w:space="0"/>
              <w:left w:val="single" w:color="auto" w:sz="4" w:space="0"/>
              <w:right w:val="single" w:color="auto" w:sz="4" w:space="0"/>
            </w:tcBorders>
            <w:vAlign w:val="center"/>
          </w:tcPr>
          <w:p w14:paraId="5928FF25">
            <w:pPr>
              <w:pStyle w:val="32"/>
              <w:keepNext w:val="0"/>
              <w:keepLines w:val="0"/>
              <w:pageBreakBefore w:val="0"/>
              <w:widowControl/>
              <w:kinsoku/>
              <w:wordWrap/>
              <w:overflowPunct/>
              <w:topLinePunct w:val="0"/>
              <w:autoSpaceDE/>
              <w:autoSpaceDN/>
              <w:bidi w:val="0"/>
              <w:adjustRightInd/>
              <w:snapToGrid w:val="0"/>
              <w:spacing w:line="300" w:lineRule="exact"/>
              <w:contextualSpacing/>
              <w:jc w:val="center"/>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打印机</w:t>
            </w:r>
            <w:r>
              <w:rPr>
                <w:rFonts w:hint="eastAsia" w:asciiTheme="majorEastAsia" w:hAnsiTheme="majorEastAsia" w:eastAsiaTheme="majorEastAsia" w:cstheme="majorEastAsia"/>
                <w:color w:val="auto"/>
                <w:sz w:val="24"/>
                <w:szCs w:val="24"/>
                <w:lang w:eastAsia="zh-CN"/>
              </w:rPr>
              <w:t>（</w:t>
            </w:r>
            <w:r>
              <w:rPr>
                <w:rFonts w:hint="eastAsia" w:asciiTheme="majorEastAsia" w:hAnsiTheme="majorEastAsia" w:eastAsiaTheme="majorEastAsia" w:cstheme="majorEastAsia"/>
                <w:color w:val="auto"/>
                <w:sz w:val="24"/>
                <w:szCs w:val="24"/>
                <w:lang w:val="en-US" w:eastAsia="zh-CN"/>
              </w:rPr>
              <w:t>含执法包，用于放置便携打印机）</w:t>
            </w:r>
          </w:p>
        </w:tc>
        <w:tc>
          <w:tcPr>
            <w:tcW w:w="724" w:type="dxa"/>
            <w:vMerge w:val="continue"/>
            <w:tcBorders>
              <w:left w:val="single" w:color="auto" w:sz="4" w:space="0"/>
              <w:right w:val="single" w:color="auto" w:sz="4" w:space="0"/>
            </w:tcBorders>
            <w:vAlign w:val="center"/>
          </w:tcPr>
          <w:p w14:paraId="4B47BA87">
            <w:pPr>
              <w:pStyle w:val="32"/>
              <w:keepNext w:val="0"/>
              <w:keepLines w:val="0"/>
              <w:pageBreakBefore w:val="0"/>
              <w:widowControl/>
              <w:kinsoku/>
              <w:wordWrap/>
              <w:overflowPunct/>
              <w:topLinePunct w:val="0"/>
              <w:autoSpaceDE/>
              <w:autoSpaceDN/>
              <w:bidi w:val="0"/>
              <w:adjustRightInd/>
              <w:snapToGrid w:val="0"/>
              <w:spacing w:line="300" w:lineRule="exact"/>
              <w:contextualSpacing/>
              <w:jc w:val="center"/>
              <w:textAlignment w:val="auto"/>
              <w:rPr>
                <w:rFonts w:hint="eastAsia" w:asciiTheme="majorEastAsia" w:hAnsiTheme="majorEastAsia" w:eastAsiaTheme="majorEastAsia" w:cstheme="majorEastAsia"/>
                <w:color w:val="auto"/>
                <w:sz w:val="24"/>
                <w:szCs w:val="24"/>
              </w:rPr>
            </w:pPr>
          </w:p>
        </w:tc>
        <w:tc>
          <w:tcPr>
            <w:tcW w:w="724" w:type="dxa"/>
            <w:tcBorders>
              <w:top w:val="single" w:color="auto" w:sz="4" w:space="0"/>
              <w:left w:val="single" w:color="auto" w:sz="4" w:space="0"/>
              <w:right w:val="single" w:color="auto" w:sz="4" w:space="0"/>
            </w:tcBorders>
            <w:vAlign w:val="center"/>
          </w:tcPr>
          <w:p w14:paraId="4237A34A">
            <w:pPr>
              <w:pStyle w:val="32"/>
              <w:keepNext w:val="0"/>
              <w:keepLines w:val="0"/>
              <w:pageBreakBefore w:val="0"/>
              <w:widowControl/>
              <w:kinsoku/>
              <w:wordWrap/>
              <w:overflowPunct/>
              <w:topLinePunct w:val="0"/>
              <w:autoSpaceDE/>
              <w:autoSpaceDN/>
              <w:bidi w:val="0"/>
              <w:adjustRightInd/>
              <w:snapToGrid w:val="0"/>
              <w:spacing w:line="300" w:lineRule="exact"/>
              <w:contextualSpacing/>
              <w:jc w:val="center"/>
              <w:textAlignment w:val="auto"/>
              <w:rPr>
                <w:rFonts w:hint="default"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14</w:t>
            </w:r>
          </w:p>
        </w:tc>
        <w:tc>
          <w:tcPr>
            <w:tcW w:w="776" w:type="dxa"/>
            <w:tcBorders>
              <w:top w:val="single" w:color="auto" w:sz="4" w:space="0"/>
              <w:left w:val="single" w:color="auto" w:sz="4" w:space="0"/>
              <w:right w:val="single" w:color="auto" w:sz="4" w:space="0"/>
            </w:tcBorders>
            <w:vAlign w:val="center"/>
          </w:tcPr>
          <w:p w14:paraId="5DE7DB6D">
            <w:pPr>
              <w:keepNext w:val="0"/>
              <w:keepLines w:val="0"/>
              <w:pageBreakBefore w:val="0"/>
              <w:widowControl/>
              <w:kinsoku/>
              <w:wordWrap/>
              <w:overflowPunct/>
              <w:topLinePunct w:val="0"/>
              <w:autoSpaceDE/>
              <w:autoSpaceDN/>
              <w:bidi w:val="0"/>
              <w:adjustRightInd/>
              <w:snapToGrid w:val="0"/>
              <w:spacing w:line="300" w:lineRule="exact"/>
              <w:ind w:left="0" w:leftChars="0" w:firstLine="0" w:firstLineChars="0"/>
              <w:contextualSpacing/>
              <w:jc w:val="center"/>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个</w:t>
            </w:r>
          </w:p>
        </w:tc>
        <w:tc>
          <w:tcPr>
            <w:tcW w:w="1138" w:type="dxa"/>
            <w:tcBorders>
              <w:top w:val="single" w:color="auto" w:sz="4" w:space="0"/>
              <w:left w:val="single" w:color="auto" w:sz="4" w:space="0"/>
              <w:right w:val="single" w:color="auto" w:sz="4" w:space="0"/>
            </w:tcBorders>
            <w:vAlign w:val="center"/>
          </w:tcPr>
          <w:p w14:paraId="2EA2F771">
            <w:pPr>
              <w:keepNext w:val="0"/>
              <w:keepLines w:val="0"/>
              <w:pageBreakBefore w:val="0"/>
              <w:widowControl/>
              <w:kinsoku/>
              <w:wordWrap/>
              <w:overflowPunct/>
              <w:topLinePunct w:val="0"/>
              <w:autoSpaceDE/>
              <w:autoSpaceDN/>
              <w:bidi w:val="0"/>
              <w:adjustRightInd/>
              <w:snapToGrid w:val="0"/>
              <w:spacing w:line="300" w:lineRule="exact"/>
              <w:ind w:left="0" w:leftChars="0" w:firstLine="0" w:firstLineChars="0"/>
              <w:contextualSpacing/>
              <w:jc w:val="center"/>
              <w:textAlignment w:val="auto"/>
              <w:rPr>
                <w:rFonts w:hint="eastAsia" w:asciiTheme="majorEastAsia" w:hAnsiTheme="majorEastAsia" w:eastAsiaTheme="majorEastAsia" w:cstheme="majorEastAsia"/>
                <w:color w:val="auto"/>
                <w:sz w:val="24"/>
                <w:szCs w:val="24"/>
                <w:lang w:val="en-US" w:eastAsia="zh-CN"/>
              </w:rPr>
            </w:pPr>
          </w:p>
        </w:tc>
        <w:tc>
          <w:tcPr>
            <w:tcW w:w="1271" w:type="dxa"/>
            <w:tcBorders>
              <w:top w:val="single" w:color="auto" w:sz="4" w:space="0"/>
              <w:left w:val="single" w:color="auto" w:sz="4" w:space="0"/>
              <w:right w:val="single" w:color="auto" w:sz="4" w:space="0"/>
            </w:tcBorders>
            <w:vAlign w:val="center"/>
          </w:tcPr>
          <w:p w14:paraId="29B69672">
            <w:pPr>
              <w:keepNext w:val="0"/>
              <w:keepLines w:val="0"/>
              <w:pageBreakBefore w:val="0"/>
              <w:widowControl/>
              <w:kinsoku/>
              <w:wordWrap/>
              <w:overflowPunct/>
              <w:topLinePunct w:val="0"/>
              <w:autoSpaceDE/>
              <w:autoSpaceDN/>
              <w:bidi w:val="0"/>
              <w:adjustRightInd/>
              <w:snapToGrid w:val="0"/>
              <w:spacing w:line="300" w:lineRule="exact"/>
              <w:ind w:left="0" w:leftChars="0" w:firstLine="0" w:firstLineChars="0"/>
              <w:contextualSpacing/>
              <w:jc w:val="center"/>
              <w:textAlignment w:val="auto"/>
              <w:rPr>
                <w:rFonts w:hint="eastAsia" w:asciiTheme="majorEastAsia" w:hAnsiTheme="majorEastAsia" w:eastAsiaTheme="majorEastAsia" w:cstheme="majorEastAsia"/>
                <w:color w:val="auto"/>
                <w:sz w:val="24"/>
                <w:szCs w:val="24"/>
                <w:lang w:val="en-US" w:eastAsia="zh-CN"/>
              </w:rPr>
            </w:pPr>
          </w:p>
        </w:tc>
        <w:tc>
          <w:tcPr>
            <w:tcW w:w="1298" w:type="dxa"/>
            <w:tcBorders>
              <w:top w:val="single" w:color="auto" w:sz="4" w:space="0"/>
              <w:left w:val="single" w:color="auto" w:sz="4" w:space="0"/>
              <w:right w:val="single" w:color="auto" w:sz="4" w:space="0"/>
            </w:tcBorders>
            <w:vAlign w:val="center"/>
          </w:tcPr>
          <w:p w14:paraId="6A0692DC">
            <w:pPr>
              <w:keepNext w:val="0"/>
              <w:keepLines w:val="0"/>
              <w:pageBreakBefore w:val="0"/>
              <w:widowControl/>
              <w:kinsoku/>
              <w:wordWrap/>
              <w:overflowPunct/>
              <w:topLinePunct w:val="0"/>
              <w:autoSpaceDE/>
              <w:autoSpaceDN/>
              <w:bidi w:val="0"/>
              <w:adjustRightInd/>
              <w:snapToGrid w:val="0"/>
              <w:spacing w:line="300" w:lineRule="exact"/>
              <w:ind w:left="0" w:leftChars="0" w:firstLine="0" w:firstLineChars="0"/>
              <w:contextualSpacing/>
              <w:jc w:val="center"/>
              <w:textAlignment w:val="auto"/>
              <w:rPr>
                <w:rFonts w:hint="eastAsia" w:asciiTheme="majorEastAsia" w:hAnsiTheme="majorEastAsia" w:eastAsiaTheme="majorEastAsia" w:cstheme="majorEastAsia"/>
                <w:color w:val="auto"/>
                <w:sz w:val="24"/>
                <w:szCs w:val="24"/>
                <w:lang w:val="en-US" w:eastAsia="zh-CN"/>
              </w:rPr>
            </w:pPr>
          </w:p>
        </w:tc>
      </w:tr>
      <w:tr w14:paraId="3DDD5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81" w:type="dxa"/>
            <w:tcBorders>
              <w:left w:val="single" w:color="auto" w:sz="4" w:space="0"/>
              <w:right w:val="single" w:color="auto" w:sz="4" w:space="0"/>
            </w:tcBorders>
            <w:vAlign w:val="center"/>
          </w:tcPr>
          <w:p w14:paraId="299E5987">
            <w:pPr>
              <w:pStyle w:val="32"/>
              <w:keepNext w:val="0"/>
              <w:keepLines w:val="0"/>
              <w:pageBreakBefore w:val="0"/>
              <w:widowControl/>
              <w:kinsoku/>
              <w:wordWrap/>
              <w:overflowPunct/>
              <w:topLinePunct w:val="0"/>
              <w:autoSpaceDE/>
              <w:autoSpaceDN/>
              <w:bidi w:val="0"/>
              <w:adjustRightInd/>
              <w:snapToGrid w:val="0"/>
              <w:spacing w:line="300" w:lineRule="exact"/>
              <w:contextualSpacing/>
              <w:jc w:val="center"/>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4</w:t>
            </w:r>
          </w:p>
        </w:tc>
        <w:tc>
          <w:tcPr>
            <w:tcW w:w="2556" w:type="dxa"/>
            <w:tcBorders>
              <w:top w:val="single" w:color="auto" w:sz="4" w:space="0"/>
              <w:left w:val="single" w:color="auto" w:sz="4" w:space="0"/>
              <w:right w:val="single" w:color="auto" w:sz="4" w:space="0"/>
            </w:tcBorders>
            <w:vAlign w:val="center"/>
          </w:tcPr>
          <w:p w14:paraId="68106AEC">
            <w:pPr>
              <w:pStyle w:val="32"/>
              <w:keepNext w:val="0"/>
              <w:keepLines w:val="0"/>
              <w:pageBreakBefore w:val="0"/>
              <w:widowControl/>
              <w:kinsoku/>
              <w:wordWrap/>
              <w:overflowPunct/>
              <w:topLinePunct w:val="0"/>
              <w:autoSpaceDE/>
              <w:autoSpaceDN/>
              <w:bidi w:val="0"/>
              <w:adjustRightInd/>
              <w:snapToGrid w:val="0"/>
              <w:spacing w:line="300" w:lineRule="exact"/>
              <w:contextualSpacing/>
              <w:jc w:val="center"/>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便携式恶臭分析仪</w:t>
            </w:r>
          </w:p>
        </w:tc>
        <w:tc>
          <w:tcPr>
            <w:tcW w:w="724" w:type="dxa"/>
            <w:vMerge w:val="continue"/>
            <w:tcBorders>
              <w:left w:val="single" w:color="auto" w:sz="4" w:space="0"/>
              <w:right w:val="single" w:color="auto" w:sz="4" w:space="0"/>
            </w:tcBorders>
            <w:vAlign w:val="center"/>
          </w:tcPr>
          <w:p w14:paraId="4051C5AE">
            <w:pPr>
              <w:pStyle w:val="32"/>
              <w:keepNext w:val="0"/>
              <w:keepLines w:val="0"/>
              <w:pageBreakBefore w:val="0"/>
              <w:widowControl/>
              <w:kinsoku/>
              <w:wordWrap/>
              <w:overflowPunct/>
              <w:topLinePunct w:val="0"/>
              <w:autoSpaceDE/>
              <w:autoSpaceDN/>
              <w:bidi w:val="0"/>
              <w:adjustRightInd/>
              <w:snapToGrid w:val="0"/>
              <w:spacing w:line="300" w:lineRule="exact"/>
              <w:contextualSpacing/>
              <w:jc w:val="center"/>
              <w:textAlignment w:val="auto"/>
              <w:rPr>
                <w:rFonts w:hint="eastAsia" w:asciiTheme="majorEastAsia" w:hAnsiTheme="majorEastAsia" w:eastAsiaTheme="majorEastAsia" w:cstheme="majorEastAsia"/>
                <w:color w:val="auto"/>
                <w:sz w:val="24"/>
                <w:szCs w:val="24"/>
              </w:rPr>
            </w:pPr>
          </w:p>
        </w:tc>
        <w:tc>
          <w:tcPr>
            <w:tcW w:w="724" w:type="dxa"/>
            <w:tcBorders>
              <w:top w:val="single" w:color="auto" w:sz="4" w:space="0"/>
              <w:left w:val="single" w:color="auto" w:sz="4" w:space="0"/>
              <w:right w:val="single" w:color="auto" w:sz="4" w:space="0"/>
            </w:tcBorders>
            <w:vAlign w:val="center"/>
          </w:tcPr>
          <w:p w14:paraId="22108FF5">
            <w:pPr>
              <w:pStyle w:val="32"/>
              <w:keepNext w:val="0"/>
              <w:keepLines w:val="0"/>
              <w:pageBreakBefore w:val="0"/>
              <w:widowControl/>
              <w:kinsoku/>
              <w:wordWrap/>
              <w:overflowPunct/>
              <w:topLinePunct w:val="0"/>
              <w:autoSpaceDE/>
              <w:autoSpaceDN/>
              <w:bidi w:val="0"/>
              <w:adjustRightInd/>
              <w:snapToGrid w:val="0"/>
              <w:spacing w:line="300" w:lineRule="exact"/>
              <w:contextualSpacing/>
              <w:jc w:val="center"/>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1</w:t>
            </w:r>
          </w:p>
        </w:tc>
        <w:tc>
          <w:tcPr>
            <w:tcW w:w="776" w:type="dxa"/>
            <w:tcBorders>
              <w:top w:val="single" w:color="auto" w:sz="4" w:space="0"/>
              <w:left w:val="single" w:color="auto" w:sz="4" w:space="0"/>
              <w:right w:val="single" w:color="auto" w:sz="4" w:space="0"/>
            </w:tcBorders>
            <w:vAlign w:val="center"/>
          </w:tcPr>
          <w:p w14:paraId="58F9A735">
            <w:pPr>
              <w:keepNext w:val="0"/>
              <w:keepLines w:val="0"/>
              <w:pageBreakBefore w:val="0"/>
              <w:widowControl/>
              <w:kinsoku/>
              <w:wordWrap/>
              <w:overflowPunct/>
              <w:topLinePunct w:val="0"/>
              <w:autoSpaceDE/>
              <w:autoSpaceDN/>
              <w:bidi w:val="0"/>
              <w:adjustRightInd/>
              <w:snapToGrid w:val="0"/>
              <w:spacing w:line="300" w:lineRule="exact"/>
              <w:ind w:left="0" w:leftChars="0" w:firstLine="0" w:firstLineChars="0"/>
              <w:contextualSpacing/>
              <w:jc w:val="center"/>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个</w:t>
            </w:r>
          </w:p>
        </w:tc>
        <w:tc>
          <w:tcPr>
            <w:tcW w:w="1138" w:type="dxa"/>
            <w:tcBorders>
              <w:top w:val="single" w:color="auto" w:sz="4" w:space="0"/>
              <w:left w:val="single" w:color="auto" w:sz="4" w:space="0"/>
              <w:right w:val="single" w:color="auto" w:sz="4" w:space="0"/>
            </w:tcBorders>
            <w:vAlign w:val="center"/>
          </w:tcPr>
          <w:p w14:paraId="6542CE43">
            <w:pPr>
              <w:keepNext w:val="0"/>
              <w:keepLines w:val="0"/>
              <w:pageBreakBefore w:val="0"/>
              <w:widowControl/>
              <w:kinsoku/>
              <w:wordWrap/>
              <w:overflowPunct/>
              <w:topLinePunct w:val="0"/>
              <w:autoSpaceDE/>
              <w:autoSpaceDN/>
              <w:bidi w:val="0"/>
              <w:adjustRightInd/>
              <w:snapToGrid w:val="0"/>
              <w:spacing w:line="300" w:lineRule="exact"/>
              <w:ind w:left="0" w:leftChars="0" w:firstLine="0" w:firstLineChars="0"/>
              <w:contextualSpacing/>
              <w:jc w:val="center"/>
              <w:textAlignment w:val="auto"/>
              <w:rPr>
                <w:rFonts w:hint="eastAsia" w:asciiTheme="majorEastAsia" w:hAnsiTheme="majorEastAsia" w:eastAsiaTheme="majorEastAsia" w:cstheme="majorEastAsia"/>
                <w:color w:val="auto"/>
                <w:sz w:val="24"/>
                <w:szCs w:val="24"/>
                <w:lang w:val="en-US" w:eastAsia="zh-CN"/>
              </w:rPr>
            </w:pPr>
          </w:p>
        </w:tc>
        <w:tc>
          <w:tcPr>
            <w:tcW w:w="1271" w:type="dxa"/>
            <w:tcBorders>
              <w:top w:val="single" w:color="auto" w:sz="4" w:space="0"/>
              <w:left w:val="single" w:color="auto" w:sz="4" w:space="0"/>
              <w:right w:val="single" w:color="auto" w:sz="4" w:space="0"/>
            </w:tcBorders>
            <w:vAlign w:val="center"/>
          </w:tcPr>
          <w:p w14:paraId="68FC77AD">
            <w:pPr>
              <w:keepNext w:val="0"/>
              <w:keepLines w:val="0"/>
              <w:pageBreakBefore w:val="0"/>
              <w:widowControl/>
              <w:kinsoku/>
              <w:wordWrap/>
              <w:overflowPunct/>
              <w:topLinePunct w:val="0"/>
              <w:autoSpaceDE/>
              <w:autoSpaceDN/>
              <w:bidi w:val="0"/>
              <w:adjustRightInd/>
              <w:snapToGrid w:val="0"/>
              <w:spacing w:line="300" w:lineRule="exact"/>
              <w:ind w:left="0" w:leftChars="0" w:firstLine="0" w:firstLineChars="0"/>
              <w:contextualSpacing/>
              <w:jc w:val="center"/>
              <w:textAlignment w:val="auto"/>
              <w:rPr>
                <w:rFonts w:hint="eastAsia" w:asciiTheme="majorEastAsia" w:hAnsiTheme="majorEastAsia" w:eastAsiaTheme="majorEastAsia" w:cstheme="majorEastAsia"/>
                <w:color w:val="auto"/>
                <w:sz w:val="24"/>
                <w:szCs w:val="24"/>
                <w:lang w:val="en-US" w:eastAsia="zh-CN"/>
              </w:rPr>
            </w:pPr>
          </w:p>
        </w:tc>
        <w:tc>
          <w:tcPr>
            <w:tcW w:w="1298" w:type="dxa"/>
            <w:tcBorders>
              <w:top w:val="single" w:color="auto" w:sz="4" w:space="0"/>
              <w:left w:val="single" w:color="auto" w:sz="4" w:space="0"/>
              <w:right w:val="single" w:color="auto" w:sz="4" w:space="0"/>
            </w:tcBorders>
            <w:vAlign w:val="center"/>
          </w:tcPr>
          <w:p w14:paraId="6E093AC9">
            <w:pPr>
              <w:keepNext w:val="0"/>
              <w:keepLines w:val="0"/>
              <w:pageBreakBefore w:val="0"/>
              <w:widowControl/>
              <w:kinsoku/>
              <w:wordWrap/>
              <w:overflowPunct/>
              <w:topLinePunct w:val="0"/>
              <w:autoSpaceDE/>
              <w:autoSpaceDN/>
              <w:bidi w:val="0"/>
              <w:adjustRightInd/>
              <w:snapToGrid w:val="0"/>
              <w:spacing w:line="300" w:lineRule="exact"/>
              <w:ind w:left="0" w:leftChars="0" w:firstLine="0" w:firstLineChars="0"/>
              <w:contextualSpacing/>
              <w:jc w:val="center"/>
              <w:textAlignment w:val="auto"/>
              <w:rPr>
                <w:rFonts w:hint="eastAsia" w:asciiTheme="majorEastAsia" w:hAnsiTheme="majorEastAsia" w:eastAsiaTheme="majorEastAsia" w:cstheme="majorEastAsia"/>
                <w:color w:val="auto"/>
                <w:sz w:val="24"/>
                <w:szCs w:val="24"/>
                <w:lang w:val="en-US" w:eastAsia="zh-CN"/>
              </w:rPr>
            </w:pPr>
          </w:p>
        </w:tc>
      </w:tr>
      <w:tr w14:paraId="60EB8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81" w:type="dxa"/>
            <w:tcBorders>
              <w:left w:val="single" w:color="auto" w:sz="4" w:space="0"/>
              <w:right w:val="single" w:color="auto" w:sz="4" w:space="0"/>
            </w:tcBorders>
            <w:vAlign w:val="center"/>
          </w:tcPr>
          <w:p w14:paraId="23DD7DFB">
            <w:pPr>
              <w:pStyle w:val="32"/>
              <w:keepNext w:val="0"/>
              <w:keepLines w:val="0"/>
              <w:pageBreakBefore w:val="0"/>
              <w:widowControl/>
              <w:kinsoku/>
              <w:wordWrap/>
              <w:overflowPunct/>
              <w:topLinePunct w:val="0"/>
              <w:autoSpaceDE/>
              <w:autoSpaceDN/>
              <w:bidi w:val="0"/>
              <w:adjustRightInd/>
              <w:snapToGrid w:val="0"/>
              <w:spacing w:line="300" w:lineRule="exact"/>
              <w:contextualSpacing/>
              <w:jc w:val="center"/>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5</w:t>
            </w:r>
          </w:p>
        </w:tc>
        <w:tc>
          <w:tcPr>
            <w:tcW w:w="2556" w:type="dxa"/>
            <w:tcBorders>
              <w:top w:val="single" w:color="auto" w:sz="4" w:space="0"/>
              <w:left w:val="single" w:color="auto" w:sz="4" w:space="0"/>
              <w:right w:val="single" w:color="auto" w:sz="4" w:space="0"/>
            </w:tcBorders>
            <w:vAlign w:val="center"/>
          </w:tcPr>
          <w:p w14:paraId="21124D24">
            <w:pPr>
              <w:pStyle w:val="32"/>
              <w:keepNext w:val="0"/>
              <w:keepLines w:val="0"/>
              <w:pageBreakBefore w:val="0"/>
              <w:widowControl/>
              <w:kinsoku/>
              <w:wordWrap/>
              <w:overflowPunct/>
              <w:topLinePunct w:val="0"/>
              <w:autoSpaceDE/>
              <w:autoSpaceDN/>
              <w:bidi w:val="0"/>
              <w:adjustRightInd/>
              <w:snapToGrid w:val="0"/>
              <w:spacing w:line="300" w:lineRule="exact"/>
              <w:contextualSpacing/>
              <w:jc w:val="center"/>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便携式噪声检测仪</w:t>
            </w:r>
          </w:p>
        </w:tc>
        <w:tc>
          <w:tcPr>
            <w:tcW w:w="724" w:type="dxa"/>
            <w:vMerge w:val="continue"/>
            <w:tcBorders>
              <w:left w:val="single" w:color="auto" w:sz="4" w:space="0"/>
              <w:right w:val="single" w:color="auto" w:sz="4" w:space="0"/>
            </w:tcBorders>
            <w:vAlign w:val="center"/>
          </w:tcPr>
          <w:p w14:paraId="79827CAA">
            <w:pPr>
              <w:pStyle w:val="32"/>
              <w:keepNext w:val="0"/>
              <w:keepLines w:val="0"/>
              <w:pageBreakBefore w:val="0"/>
              <w:widowControl/>
              <w:kinsoku/>
              <w:wordWrap/>
              <w:overflowPunct/>
              <w:topLinePunct w:val="0"/>
              <w:autoSpaceDE/>
              <w:autoSpaceDN/>
              <w:bidi w:val="0"/>
              <w:adjustRightInd/>
              <w:snapToGrid w:val="0"/>
              <w:spacing w:line="300" w:lineRule="exact"/>
              <w:contextualSpacing/>
              <w:jc w:val="center"/>
              <w:textAlignment w:val="auto"/>
              <w:rPr>
                <w:rFonts w:hint="eastAsia" w:asciiTheme="majorEastAsia" w:hAnsiTheme="majorEastAsia" w:eastAsiaTheme="majorEastAsia" w:cstheme="majorEastAsia"/>
                <w:color w:val="auto"/>
                <w:sz w:val="24"/>
                <w:szCs w:val="24"/>
              </w:rPr>
            </w:pPr>
          </w:p>
        </w:tc>
        <w:tc>
          <w:tcPr>
            <w:tcW w:w="724" w:type="dxa"/>
            <w:tcBorders>
              <w:top w:val="single" w:color="auto" w:sz="4" w:space="0"/>
              <w:left w:val="single" w:color="auto" w:sz="4" w:space="0"/>
              <w:right w:val="single" w:color="auto" w:sz="4" w:space="0"/>
            </w:tcBorders>
            <w:vAlign w:val="center"/>
          </w:tcPr>
          <w:p w14:paraId="067C8F48">
            <w:pPr>
              <w:pStyle w:val="32"/>
              <w:keepNext w:val="0"/>
              <w:keepLines w:val="0"/>
              <w:pageBreakBefore w:val="0"/>
              <w:widowControl/>
              <w:kinsoku/>
              <w:wordWrap/>
              <w:overflowPunct/>
              <w:topLinePunct w:val="0"/>
              <w:autoSpaceDE/>
              <w:autoSpaceDN/>
              <w:bidi w:val="0"/>
              <w:adjustRightInd/>
              <w:snapToGrid w:val="0"/>
              <w:spacing w:line="300" w:lineRule="exact"/>
              <w:contextualSpacing/>
              <w:jc w:val="center"/>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6</w:t>
            </w:r>
          </w:p>
        </w:tc>
        <w:tc>
          <w:tcPr>
            <w:tcW w:w="776" w:type="dxa"/>
            <w:tcBorders>
              <w:top w:val="single" w:color="auto" w:sz="4" w:space="0"/>
              <w:left w:val="single" w:color="auto" w:sz="4" w:space="0"/>
              <w:right w:val="single" w:color="auto" w:sz="4" w:space="0"/>
            </w:tcBorders>
            <w:vAlign w:val="center"/>
          </w:tcPr>
          <w:p w14:paraId="30F81B74">
            <w:pPr>
              <w:keepNext w:val="0"/>
              <w:keepLines w:val="0"/>
              <w:pageBreakBefore w:val="0"/>
              <w:widowControl/>
              <w:kinsoku/>
              <w:wordWrap/>
              <w:overflowPunct/>
              <w:topLinePunct w:val="0"/>
              <w:autoSpaceDE/>
              <w:autoSpaceDN/>
              <w:bidi w:val="0"/>
              <w:adjustRightInd/>
              <w:snapToGrid w:val="0"/>
              <w:spacing w:line="300" w:lineRule="exact"/>
              <w:ind w:left="0" w:leftChars="0" w:firstLine="0" w:firstLineChars="0"/>
              <w:contextualSpacing/>
              <w:jc w:val="center"/>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个</w:t>
            </w:r>
          </w:p>
        </w:tc>
        <w:tc>
          <w:tcPr>
            <w:tcW w:w="1138" w:type="dxa"/>
            <w:tcBorders>
              <w:top w:val="single" w:color="auto" w:sz="4" w:space="0"/>
              <w:left w:val="single" w:color="auto" w:sz="4" w:space="0"/>
              <w:right w:val="single" w:color="auto" w:sz="4" w:space="0"/>
            </w:tcBorders>
            <w:vAlign w:val="center"/>
          </w:tcPr>
          <w:p w14:paraId="718377FD">
            <w:pPr>
              <w:keepNext w:val="0"/>
              <w:keepLines w:val="0"/>
              <w:pageBreakBefore w:val="0"/>
              <w:widowControl/>
              <w:kinsoku/>
              <w:wordWrap/>
              <w:overflowPunct/>
              <w:topLinePunct w:val="0"/>
              <w:autoSpaceDE/>
              <w:autoSpaceDN/>
              <w:bidi w:val="0"/>
              <w:adjustRightInd/>
              <w:snapToGrid w:val="0"/>
              <w:spacing w:line="300" w:lineRule="exact"/>
              <w:ind w:left="0" w:leftChars="0" w:firstLine="0" w:firstLineChars="0"/>
              <w:contextualSpacing/>
              <w:jc w:val="center"/>
              <w:textAlignment w:val="auto"/>
              <w:rPr>
                <w:rFonts w:hint="eastAsia" w:asciiTheme="majorEastAsia" w:hAnsiTheme="majorEastAsia" w:eastAsiaTheme="majorEastAsia" w:cstheme="majorEastAsia"/>
                <w:color w:val="auto"/>
                <w:sz w:val="24"/>
                <w:szCs w:val="24"/>
                <w:lang w:val="en-US" w:eastAsia="zh-CN"/>
              </w:rPr>
            </w:pPr>
          </w:p>
        </w:tc>
        <w:tc>
          <w:tcPr>
            <w:tcW w:w="1271" w:type="dxa"/>
            <w:tcBorders>
              <w:top w:val="single" w:color="auto" w:sz="4" w:space="0"/>
              <w:left w:val="single" w:color="auto" w:sz="4" w:space="0"/>
              <w:right w:val="single" w:color="auto" w:sz="4" w:space="0"/>
            </w:tcBorders>
            <w:vAlign w:val="center"/>
          </w:tcPr>
          <w:p w14:paraId="094F6045">
            <w:pPr>
              <w:keepNext w:val="0"/>
              <w:keepLines w:val="0"/>
              <w:pageBreakBefore w:val="0"/>
              <w:widowControl/>
              <w:kinsoku/>
              <w:wordWrap/>
              <w:overflowPunct/>
              <w:topLinePunct w:val="0"/>
              <w:autoSpaceDE/>
              <w:autoSpaceDN/>
              <w:bidi w:val="0"/>
              <w:adjustRightInd/>
              <w:snapToGrid w:val="0"/>
              <w:spacing w:line="300" w:lineRule="exact"/>
              <w:ind w:left="0" w:leftChars="0" w:firstLine="0" w:firstLineChars="0"/>
              <w:contextualSpacing/>
              <w:jc w:val="center"/>
              <w:textAlignment w:val="auto"/>
              <w:rPr>
                <w:rFonts w:hint="eastAsia" w:asciiTheme="majorEastAsia" w:hAnsiTheme="majorEastAsia" w:eastAsiaTheme="majorEastAsia" w:cstheme="majorEastAsia"/>
                <w:color w:val="auto"/>
                <w:sz w:val="24"/>
                <w:szCs w:val="24"/>
                <w:lang w:val="en-US" w:eastAsia="zh-CN"/>
              </w:rPr>
            </w:pPr>
          </w:p>
        </w:tc>
        <w:tc>
          <w:tcPr>
            <w:tcW w:w="1298" w:type="dxa"/>
            <w:tcBorders>
              <w:top w:val="single" w:color="auto" w:sz="4" w:space="0"/>
              <w:left w:val="single" w:color="auto" w:sz="4" w:space="0"/>
              <w:right w:val="single" w:color="auto" w:sz="4" w:space="0"/>
            </w:tcBorders>
            <w:vAlign w:val="center"/>
          </w:tcPr>
          <w:p w14:paraId="4D0BF985">
            <w:pPr>
              <w:keepNext w:val="0"/>
              <w:keepLines w:val="0"/>
              <w:pageBreakBefore w:val="0"/>
              <w:widowControl/>
              <w:kinsoku/>
              <w:wordWrap/>
              <w:overflowPunct/>
              <w:topLinePunct w:val="0"/>
              <w:autoSpaceDE/>
              <w:autoSpaceDN/>
              <w:bidi w:val="0"/>
              <w:adjustRightInd/>
              <w:snapToGrid w:val="0"/>
              <w:spacing w:line="300" w:lineRule="exact"/>
              <w:ind w:left="0" w:leftChars="0" w:firstLine="0" w:firstLineChars="0"/>
              <w:contextualSpacing/>
              <w:jc w:val="center"/>
              <w:textAlignment w:val="auto"/>
              <w:rPr>
                <w:rFonts w:hint="eastAsia" w:asciiTheme="majorEastAsia" w:hAnsiTheme="majorEastAsia" w:eastAsiaTheme="majorEastAsia" w:cstheme="majorEastAsia"/>
                <w:color w:val="auto"/>
                <w:sz w:val="24"/>
                <w:szCs w:val="24"/>
                <w:lang w:val="en-US" w:eastAsia="zh-CN"/>
              </w:rPr>
            </w:pPr>
          </w:p>
        </w:tc>
      </w:tr>
      <w:tr w14:paraId="46022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81" w:type="dxa"/>
            <w:tcBorders>
              <w:left w:val="single" w:color="auto" w:sz="4" w:space="0"/>
              <w:right w:val="single" w:color="auto" w:sz="4" w:space="0"/>
            </w:tcBorders>
            <w:vAlign w:val="center"/>
          </w:tcPr>
          <w:p w14:paraId="0BEEC307">
            <w:pPr>
              <w:pStyle w:val="32"/>
              <w:keepNext w:val="0"/>
              <w:keepLines w:val="0"/>
              <w:pageBreakBefore w:val="0"/>
              <w:widowControl/>
              <w:kinsoku/>
              <w:wordWrap/>
              <w:overflowPunct/>
              <w:topLinePunct w:val="0"/>
              <w:autoSpaceDE/>
              <w:autoSpaceDN/>
              <w:bidi w:val="0"/>
              <w:adjustRightInd/>
              <w:snapToGrid w:val="0"/>
              <w:spacing w:line="300" w:lineRule="exact"/>
              <w:contextualSpacing/>
              <w:jc w:val="center"/>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6</w:t>
            </w:r>
          </w:p>
        </w:tc>
        <w:tc>
          <w:tcPr>
            <w:tcW w:w="2556" w:type="dxa"/>
            <w:tcBorders>
              <w:top w:val="single" w:color="auto" w:sz="4" w:space="0"/>
              <w:left w:val="single" w:color="auto" w:sz="4" w:space="0"/>
              <w:right w:val="single" w:color="auto" w:sz="4" w:space="0"/>
            </w:tcBorders>
            <w:vAlign w:val="center"/>
          </w:tcPr>
          <w:p w14:paraId="25995105">
            <w:pPr>
              <w:pStyle w:val="32"/>
              <w:keepNext w:val="0"/>
              <w:keepLines w:val="0"/>
              <w:pageBreakBefore w:val="0"/>
              <w:widowControl/>
              <w:kinsoku/>
              <w:wordWrap/>
              <w:overflowPunct/>
              <w:topLinePunct w:val="0"/>
              <w:autoSpaceDE/>
              <w:autoSpaceDN/>
              <w:bidi w:val="0"/>
              <w:adjustRightInd/>
              <w:snapToGrid w:val="0"/>
              <w:spacing w:line="300" w:lineRule="exact"/>
              <w:contextualSpacing/>
              <w:jc w:val="center"/>
              <w:textAlignment w:val="auto"/>
              <w:rPr>
                <w:rFonts w:hint="eastAsia" w:asciiTheme="majorEastAsia" w:hAnsiTheme="majorEastAsia" w:eastAsiaTheme="majorEastAsia" w:cstheme="majorEastAsia"/>
                <w:color w:val="auto"/>
                <w:kern w:val="0"/>
                <w:sz w:val="24"/>
                <w:szCs w:val="24"/>
              </w:rPr>
            </w:pPr>
            <w:r>
              <w:rPr>
                <w:rFonts w:hint="eastAsia" w:asciiTheme="majorEastAsia" w:hAnsiTheme="majorEastAsia" w:eastAsiaTheme="majorEastAsia" w:cstheme="majorEastAsia"/>
                <w:color w:val="auto"/>
                <w:kern w:val="0"/>
                <w:sz w:val="24"/>
                <w:szCs w:val="24"/>
              </w:rPr>
              <w:t>OBD环保检测终端</w:t>
            </w:r>
          </w:p>
        </w:tc>
        <w:tc>
          <w:tcPr>
            <w:tcW w:w="724" w:type="dxa"/>
            <w:vMerge w:val="continue"/>
            <w:tcBorders>
              <w:left w:val="single" w:color="auto" w:sz="4" w:space="0"/>
              <w:right w:val="single" w:color="auto" w:sz="4" w:space="0"/>
            </w:tcBorders>
            <w:vAlign w:val="center"/>
          </w:tcPr>
          <w:p w14:paraId="6EF6240A">
            <w:pPr>
              <w:pStyle w:val="32"/>
              <w:keepNext w:val="0"/>
              <w:keepLines w:val="0"/>
              <w:pageBreakBefore w:val="0"/>
              <w:widowControl/>
              <w:kinsoku/>
              <w:wordWrap/>
              <w:overflowPunct/>
              <w:topLinePunct w:val="0"/>
              <w:autoSpaceDE/>
              <w:autoSpaceDN/>
              <w:bidi w:val="0"/>
              <w:adjustRightInd/>
              <w:snapToGrid w:val="0"/>
              <w:spacing w:line="300" w:lineRule="exact"/>
              <w:contextualSpacing/>
              <w:jc w:val="center"/>
              <w:textAlignment w:val="auto"/>
              <w:rPr>
                <w:rFonts w:hint="eastAsia" w:asciiTheme="majorEastAsia" w:hAnsiTheme="majorEastAsia" w:eastAsiaTheme="majorEastAsia" w:cstheme="majorEastAsia"/>
                <w:color w:val="auto"/>
                <w:kern w:val="0"/>
                <w:sz w:val="24"/>
                <w:szCs w:val="24"/>
              </w:rPr>
            </w:pPr>
          </w:p>
        </w:tc>
        <w:tc>
          <w:tcPr>
            <w:tcW w:w="724" w:type="dxa"/>
            <w:tcBorders>
              <w:top w:val="single" w:color="auto" w:sz="4" w:space="0"/>
              <w:left w:val="single" w:color="auto" w:sz="4" w:space="0"/>
              <w:right w:val="single" w:color="auto" w:sz="4" w:space="0"/>
            </w:tcBorders>
            <w:vAlign w:val="center"/>
          </w:tcPr>
          <w:p w14:paraId="03C27AEC">
            <w:pPr>
              <w:pStyle w:val="32"/>
              <w:keepNext w:val="0"/>
              <w:keepLines w:val="0"/>
              <w:pageBreakBefore w:val="0"/>
              <w:widowControl/>
              <w:kinsoku/>
              <w:wordWrap/>
              <w:overflowPunct/>
              <w:topLinePunct w:val="0"/>
              <w:autoSpaceDE/>
              <w:autoSpaceDN/>
              <w:bidi w:val="0"/>
              <w:adjustRightInd/>
              <w:snapToGrid w:val="0"/>
              <w:spacing w:line="300" w:lineRule="exact"/>
              <w:contextualSpacing/>
              <w:jc w:val="center"/>
              <w:textAlignment w:val="auto"/>
              <w:rPr>
                <w:rFonts w:hint="eastAsia" w:asciiTheme="majorEastAsia" w:hAnsiTheme="majorEastAsia" w:eastAsiaTheme="majorEastAsia" w:cstheme="majorEastAsia"/>
                <w:color w:val="auto"/>
                <w:kern w:val="0"/>
                <w:sz w:val="24"/>
                <w:szCs w:val="24"/>
                <w:lang w:val="en-US" w:eastAsia="zh-CN"/>
              </w:rPr>
            </w:pPr>
            <w:r>
              <w:rPr>
                <w:rFonts w:hint="eastAsia" w:asciiTheme="majorEastAsia" w:hAnsiTheme="majorEastAsia" w:eastAsiaTheme="majorEastAsia" w:cstheme="majorEastAsia"/>
                <w:color w:val="auto"/>
                <w:kern w:val="0"/>
                <w:sz w:val="24"/>
                <w:szCs w:val="24"/>
                <w:lang w:val="en-US" w:eastAsia="zh-CN"/>
              </w:rPr>
              <w:t>1</w:t>
            </w:r>
          </w:p>
        </w:tc>
        <w:tc>
          <w:tcPr>
            <w:tcW w:w="776" w:type="dxa"/>
            <w:tcBorders>
              <w:top w:val="single" w:color="auto" w:sz="4" w:space="0"/>
              <w:left w:val="single" w:color="auto" w:sz="4" w:space="0"/>
              <w:right w:val="single" w:color="auto" w:sz="4" w:space="0"/>
            </w:tcBorders>
            <w:vAlign w:val="center"/>
          </w:tcPr>
          <w:p w14:paraId="078FFD6A">
            <w:pPr>
              <w:keepNext w:val="0"/>
              <w:keepLines w:val="0"/>
              <w:pageBreakBefore w:val="0"/>
              <w:widowControl/>
              <w:kinsoku/>
              <w:wordWrap/>
              <w:overflowPunct/>
              <w:topLinePunct w:val="0"/>
              <w:autoSpaceDE/>
              <w:autoSpaceDN/>
              <w:bidi w:val="0"/>
              <w:adjustRightInd/>
              <w:snapToGrid w:val="0"/>
              <w:spacing w:line="300" w:lineRule="exact"/>
              <w:ind w:left="0" w:leftChars="0" w:firstLine="0" w:firstLineChars="0"/>
              <w:contextualSpacing/>
              <w:jc w:val="center"/>
              <w:textAlignment w:val="auto"/>
              <w:rPr>
                <w:rFonts w:hint="eastAsia" w:asciiTheme="majorEastAsia" w:hAnsiTheme="majorEastAsia" w:eastAsiaTheme="majorEastAsia" w:cstheme="majorEastAsia"/>
                <w:color w:val="auto"/>
                <w:kern w:val="0"/>
                <w:sz w:val="24"/>
                <w:szCs w:val="24"/>
              </w:rPr>
            </w:pPr>
            <w:r>
              <w:rPr>
                <w:rFonts w:hint="eastAsia" w:asciiTheme="majorEastAsia" w:hAnsiTheme="majorEastAsia" w:eastAsiaTheme="majorEastAsia" w:cstheme="majorEastAsia"/>
                <w:color w:val="auto"/>
                <w:sz w:val="24"/>
                <w:szCs w:val="24"/>
                <w:lang w:val="en-US" w:eastAsia="zh-CN"/>
              </w:rPr>
              <w:t>个</w:t>
            </w:r>
          </w:p>
        </w:tc>
        <w:tc>
          <w:tcPr>
            <w:tcW w:w="1138" w:type="dxa"/>
            <w:tcBorders>
              <w:top w:val="single" w:color="auto" w:sz="4" w:space="0"/>
              <w:left w:val="single" w:color="auto" w:sz="4" w:space="0"/>
              <w:right w:val="single" w:color="auto" w:sz="4" w:space="0"/>
            </w:tcBorders>
            <w:vAlign w:val="center"/>
          </w:tcPr>
          <w:p w14:paraId="4D3F57FB">
            <w:pPr>
              <w:keepNext w:val="0"/>
              <w:keepLines w:val="0"/>
              <w:pageBreakBefore w:val="0"/>
              <w:widowControl/>
              <w:kinsoku/>
              <w:wordWrap/>
              <w:overflowPunct/>
              <w:topLinePunct w:val="0"/>
              <w:autoSpaceDE/>
              <w:autoSpaceDN/>
              <w:bidi w:val="0"/>
              <w:adjustRightInd/>
              <w:snapToGrid w:val="0"/>
              <w:spacing w:line="300" w:lineRule="exact"/>
              <w:ind w:left="0" w:leftChars="0" w:firstLine="0" w:firstLineChars="0"/>
              <w:contextualSpacing/>
              <w:jc w:val="center"/>
              <w:textAlignment w:val="auto"/>
              <w:rPr>
                <w:rFonts w:hint="eastAsia" w:asciiTheme="majorEastAsia" w:hAnsiTheme="majorEastAsia" w:eastAsiaTheme="majorEastAsia" w:cstheme="majorEastAsia"/>
                <w:color w:val="auto"/>
                <w:sz w:val="24"/>
                <w:szCs w:val="24"/>
                <w:lang w:val="en-US" w:eastAsia="zh-CN"/>
              </w:rPr>
            </w:pPr>
          </w:p>
        </w:tc>
        <w:tc>
          <w:tcPr>
            <w:tcW w:w="1271" w:type="dxa"/>
            <w:tcBorders>
              <w:top w:val="single" w:color="auto" w:sz="4" w:space="0"/>
              <w:left w:val="single" w:color="auto" w:sz="4" w:space="0"/>
              <w:right w:val="single" w:color="auto" w:sz="4" w:space="0"/>
            </w:tcBorders>
            <w:vAlign w:val="center"/>
          </w:tcPr>
          <w:p w14:paraId="0B1F639F">
            <w:pPr>
              <w:keepNext w:val="0"/>
              <w:keepLines w:val="0"/>
              <w:pageBreakBefore w:val="0"/>
              <w:widowControl/>
              <w:kinsoku/>
              <w:wordWrap/>
              <w:overflowPunct/>
              <w:topLinePunct w:val="0"/>
              <w:autoSpaceDE/>
              <w:autoSpaceDN/>
              <w:bidi w:val="0"/>
              <w:adjustRightInd/>
              <w:snapToGrid w:val="0"/>
              <w:spacing w:line="300" w:lineRule="exact"/>
              <w:ind w:left="0" w:leftChars="0" w:firstLine="0" w:firstLineChars="0"/>
              <w:contextualSpacing/>
              <w:jc w:val="center"/>
              <w:textAlignment w:val="auto"/>
              <w:rPr>
                <w:rFonts w:hint="eastAsia" w:asciiTheme="majorEastAsia" w:hAnsiTheme="majorEastAsia" w:eastAsiaTheme="majorEastAsia" w:cstheme="majorEastAsia"/>
                <w:color w:val="auto"/>
                <w:sz w:val="24"/>
                <w:szCs w:val="24"/>
                <w:lang w:val="en-US" w:eastAsia="zh-CN"/>
              </w:rPr>
            </w:pPr>
          </w:p>
        </w:tc>
        <w:tc>
          <w:tcPr>
            <w:tcW w:w="1298" w:type="dxa"/>
            <w:tcBorders>
              <w:top w:val="single" w:color="auto" w:sz="4" w:space="0"/>
              <w:left w:val="single" w:color="auto" w:sz="4" w:space="0"/>
              <w:right w:val="single" w:color="auto" w:sz="4" w:space="0"/>
            </w:tcBorders>
            <w:vAlign w:val="center"/>
          </w:tcPr>
          <w:p w14:paraId="4DB2B7D5">
            <w:pPr>
              <w:keepNext w:val="0"/>
              <w:keepLines w:val="0"/>
              <w:pageBreakBefore w:val="0"/>
              <w:widowControl/>
              <w:kinsoku/>
              <w:wordWrap/>
              <w:overflowPunct/>
              <w:topLinePunct w:val="0"/>
              <w:autoSpaceDE/>
              <w:autoSpaceDN/>
              <w:bidi w:val="0"/>
              <w:adjustRightInd/>
              <w:snapToGrid w:val="0"/>
              <w:spacing w:line="300" w:lineRule="exact"/>
              <w:ind w:left="0" w:leftChars="0" w:firstLine="0" w:firstLineChars="0"/>
              <w:contextualSpacing/>
              <w:jc w:val="center"/>
              <w:textAlignment w:val="auto"/>
              <w:rPr>
                <w:rFonts w:hint="eastAsia" w:asciiTheme="majorEastAsia" w:hAnsiTheme="majorEastAsia" w:eastAsiaTheme="majorEastAsia" w:cstheme="majorEastAsia"/>
                <w:color w:val="auto"/>
                <w:sz w:val="24"/>
                <w:szCs w:val="24"/>
                <w:lang w:val="en-US" w:eastAsia="zh-CN"/>
              </w:rPr>
            </w:pPr>
          </w:p>
        </w:tc>
      </w:tr>
      <w:tr w14:paraId="12B2E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81" w:type="dxa"/>
            <w:tcBorders>
              <w:left w:val="single" w:color="auto" w:sz="4" w:space="0"/>
              <w:right w:val="single" w:color="auto" w:sz="4" w:space="0"/>
            </w:tcBorders>
            <w:vAlign w:val="center"/>
          </w:tcPr>
          <w:p w14:paraId="4F3FF5FB">
            <w:pPr>
              <w:pStyle w:val="32"/>
              <w:keepNext w:val="0"/>
              <w:keepLines w:val="0"/>
              <w:pageBreakBefore w:val="0"/>
              <w:widowControl/>
              <w:kinsoku/>
              <w:wordWrap/>
              <w:overflowPunct/>
              <w:topLinePunct w:val="0"/>
              <w:autoSpaceDE/>
              <w:autoSpaceDN/>
              <w:bidi w:val="0"/>
              <w:adjustRightInd/>
              <w:snapToGrid w:val="0"/>
              <w:spacing w:line="300" w:lineRule="exact"/>
              <w:contextualSpacing/>
              <w:jc w:val="center"/>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7</w:t>
            </w:r>
          </w:p>
        </w:tc>
        <w:tc>
          <w:tcPr>
            <w:tcW w:w="2556" w:type="dxa"/>
            <w:tcBorders>
              <w:top w:val="single" w:color="auto" w:sz="4" w:space="0"/>
              <w:left w:val="single" w:color="auto" w:sz="4" w:space="0"/>
              <w:bottom w:val="single" w:color="auto" w:sz="4" w:space="0"/>
              <w:right w:val="single" w:color="auto" w:sz="4" w:space="0"/>
            </w:tcBorders>
            <w:vAlign w:val="center"/>
          </w:tcPr>
          <w:p w14:paraId="11B266ED">
            <w:pPr>
              <w:pStyle w:val="32"/>
              <w:keepNext w:val="0"/>
              <w:keepLines w:val="0"/>
              <w:pageBreakBefore w:val="0"/>
              <w:widowControl/>
              <w:kinsoku/>
              <w:wordWrap/>
              <w:overflowPunct/>
              <w:topLinePunct w:val="0"/>
              <w:autoSpaceDE/>
              <w:autoSpaceDN/>
              <w:bidi w:val="0"/>
              <w:adjustRightInd/>
              <w:snapToGrid w:val="0"/>
              <w:spacing w:line="300" w:lineRule="exact"/>
              <w:contextualSpacing/>
              <w:jc w:val="center"/>
              <w:textAlignment w:val="auto"/>
              <w:rPr>
                <w:rFonts w:hint="eastAsia" w:asciiTheme="majorEastAsia" w:hAnsiTheme="majorEastAsia" w:eastAsiaTheme="majorEastAsia" w:cstheme="majorEastAsia"/>
                <w:color w:val="auto"/>
                <w:kern w:val="0"/>
                <w:sz w:val="24"/>
                <w:szCs w:val="24"/>
              </w:rPr>
            </w:pPr>
            <w:r>
              <w:rPr>
                <w:rFonts w:hint="eastAsia" w:asciiTheme="majorEastAsia" w:hAnsiTheme="majorEastAsia" w:eastAsiaTheme="majorEastAsia" w:cstheme="majorEastAsia"/>
                <w:color w:val="auto"/>
                <w:kern w:val="0"/>
                <w:sz w:val="24"/>
                <w:szCs w:val="24"/>
              </w:rPr>
              <w:t>示踪剂</w:t>
            </w:r>
          </w:p>
        </w:tc>
        <w:tc>
          <w:tcPr>
            <w:tcW w:w="724" w:type="dxa"/>
            <w:vMerge w:val="continue"/>
            <w:tcBorders>
              <w:left w:val="single" w:color="auto" w:sz="4" w:space="0"/>
              <w:right w:val="single" w:color="auto" w:sz="4" w:space="0"/>
            </w:tcBorders>
            <w:vAlign w:val="center"/>
          </w:tcPr>
          <w:p w14:paraId="4AFB3586">
            <w:pPr>
              <w:pStyle w:val="32"/>
              <w:keepNext w:val="0"/>
              <w:keepLines w:val="0"/>
              <w:pageBreakBefore w:val="0"/>
              <w:widowControl/>
              <w:kinsoku/>
              <w:wordWrap/>
              <w:overflowPunct/>
              <w:topLinePunct w:val="0"/>
              <w:autoSpaceDE/>
              <w:autoSpaceDN/>
              <w:bidi w:val="0"/>
              <w:adjustRightInd/>
              <w:snapToGrid w:val="0"/>
              <w:spacing w:line="300" w:lineRule="exact"/>
              <w:contextualSpacing/>
              <w:jc w:val="center"/>
              <w:textAlignment w:val="auto"/>
              <w:rPr>
                <w:rFonts w:hint="eastAsia" w:asciiTheme="majorEastAsia" w:hAnsiTheme="majorEastAsia" w:eastAsiaTheme="majorEastAsia" w:cstheme="majorEastAsia"/>
                <w:color w:val="auto"/>
                <w:kern w:val="0"/>
                <w:sz w:val="24"/>
                <w:szCs w:val="24"/>
              </w:rPr>
            </w:pPr>
          </w:p>
        </w:tc>
        <w:tc>
          <w:tcPr>
            <w:tcW w:w="724" w:type="dxa"/>
            <w:tcBorders>
              <w:left w:val="single" w:color="auto" w:sz="4" w:space="0"/>
              <w:right w:val="single" w:color="auto" w:sz="4" w:space="0"/>
            </w:tcBorders>
            <w:vAlign w:val="center"/>
          </w:tcPr>
          <w:p w14:paraId="5DAC1BBB">
            <w:pPr>
              <w:pStyle w:val="32"/>
              <w:keepNext w:val="0"/>
              <w:keepLines w:val="0"/>
              <w:pageBreakBefore w:val="0"/>
              <w:widowControl/>
              <w:kinsoku/>
              <w:wordWrap/>
              <w:overflowPunct/>
              <w:topLinePunct w:val="0"/>
              <w:autoSpaceDE/>
              <w:autoSpaceDN/>
              <w:bidi w:val="0"/>
              <w:adjustRightInd/>
              <w:snapToGrid w:val="0"/>
              <w:spacing w:line="300" w:lineRule="exact"/>
              <w:contextualSpacing/>
              <w:jc w:val="center"/>
              <w:textAlignment w:val="auto"/>
              <w:rPr>
                <w:rFonts w:hint="default" w:asciiTheme="majorEastAsia" w:hAnsiTheme="majorEastAsia" w:eastAsiaTheme="majorEastAsia" w:cstheme="majorEastAsia"/>
                <w:color w:val="auto"/>
                <w:kern w:val="0"/>
                <w:sz w:val="24"/>
                <w:szCs w:val="24"/>
                <w:lang w:val="en-US" w:eastAsia="zh-CN"/>
              </w:rPr>
            </w:pPr>
            <w:r>
              <w:rPr>
                <w:rFonts w:hint="eastAsia" w:asciiTheme="majorEastAsia" w:hAnsiTheme="majorEastAsia" w:eastAsiaTheme="majorEastAsia" w:cstheme="majorEastAsia"/>
                <w:color w:val="auto"/>
                <w:kern w:val="0"/>
                <w:sz w:val="24"/>
                <w:szCs w:val="24"/>
                <w:lang w:val="en-US" w:eastAsia="zh-CN"/>
              </w:rPr>
              <w:t>10</w:t>
            </w:r>
          </w:p>
        </w:tc>
        <w:tc>
          <w:tcPr>
            <w:tcW w:w="776" w:type="dxa"/>
            <w:tcBorders>
              <w:left w:val="single" w:color="auto" w:sz="4" w:space="0"/>
              <w:right w:val="single" w:color="auto" w:sz="4" w:space="0"/>
            </w:tcBorders>
            <w:vAlign w:val="center"/>
          </w:tcPr>
          <w:p w14:paraId="4FA2BEFD">
            <w:pPr>
              <w:pStyle w:val="32"/>
              <w:keepNext w:val="0"/>
              <w:keepLines w:val="0"/>
              <w:pageBreakBefore w:val="0"/>
              <w:widowControl/>
              <w:kinsoku/>
              <w:wordWrap/>
              <w:overflowPunct/>
              <w:topLinePunct w:val="0"/>
              <w:autoSpaceDE/>
              <w:autoSpaceDN/>
              <w:bidi w:val="0"/>
              <w:adjustRightInd/>
              <w:snapToGrid w:val="0"/>
              <w:spacing w:line="300" w:lineRule="exact"/>
              <w:contextualSpacing/>
              <w:jc w:val="center"/>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个</w:t>
            </w:r>
          </w:p>
        </w:tc>
        <w:tc>
          <w:tcPr>
            <w:tcW w:w="1138" w:type="dxa"/>
            <w:tcBorders>
              <w:left w:val="single" w:color="auto" w:sz="4" w:space="0"/>
              <w:right w:val="single" w:color="auto" w:sz="4" w:space="0"/>
            </w:tcBorders>
            <w:vAlign w:val="center"/>
          </w:tcPr>
          <w:p w14:paraId="75013642">
            <w:pPr>
              <w:pStyle w:val="32"/>
              <w:keepNext w:val="0"/>
              <w:keepLines w:val="0"/>
              <w:pageBreakBefore w:val="0"/>
              <w:widowControl/>
              <w:kinsoku/>
              <w:wordWrap/>
              <w:overflowPunct/>
              <w:topLinePunct w:val="0"/>
              <w:autoSpaceDE/>
              <w:autoSpaceDN/>
              <w:bidi w:val="0"/>
              <w:adjustRightInd/>
              <w:snapToGrid w:val="0"/>
              <w:spacing w:line="300" w:lineRule="exact"/>
              <w:contextualSpacing/>
              <w:jc w:val="center"/>
              <w:textAlignment w:val="auto"/>
              <w:rPr>
                <w:rFonts w:hint="eastAsia" w:asciiTheme="majorEastAsia" w:hAnsiTheme="majorEastAsia" w:eastAsiaTheme="majorEastAsia" w:cstheme="majorEastAsia"/>
                <w:color w:val="auto"/>
                <w:sz w:val="24"/>
                <w:szCs w:val="24"/>
                <w:lang w:val="en-US" w:eastAsia="zh-CN"/>
              </w:rPr>
            </w:pPr>
          </w:p>
        </w:tc>
        <w:tc>
          <w:tcPr>
            <w:tcW w:w="1271" w:type="dxa"/>
            <w:tcBorders>
              <w:left w:val="single" w:color="auto" w:sz="4" w:space="0"/>
              <w:right w:val="single" w:color="auto" w:sz="4" w:space="0"/>
            </w:tcBorders>
            <w:vAlign w:val="center"/>
          </w:tcPr>
          <w:p w14:paraId="28A3B74A">
            <w:pPr>
              <w:pStyle w:val="32"/>
              <w:keepNext w:val="0"/>
              <w:keepLines w:val="0"/>
              <w:pageBreakBefore w:val="0"/>
              <w:widowControl/>
              <w:kinsoku/>
              <w:wordWrap/>
              <w:overflowPunct/>
              <w:topLinePunct w:val="0"/>
              <w:autoSpaceDE/>
              <w:autoSpaceDN/>
              <w:bidi w:val="0"/>
              <w:adjustRightInd/>
              <w:snapToGrid w:val="0"/>
              <w:spacing w:line="300" w:lineRule="exact"/>
              <w:contextualSpacing/>
              <w:jc w:val="center"/>
              <w:textAlignment w:val="auto"/>
              <w:rPr>
                <w:rFonts w:hint="eastAsia" w:asciiTheme="majorEastAsia" w:hAnsiTheme="majorEastAsia" w:eastAsiaTheme="majorEastAsia" w:cstheme="majorEastAsia"/>
                <w:color w:val="auto"/>
                <w:sz w:val="24"/>
                <w:szCs w:val="24"/>
                <w:lang w:val="en-US" w:eastAsia="zh-CN"/>
              </w:rPr>
            </w:pPr>
          </w:p>
        </w:tc>
        <w:tc>
          <w:tcPr>
            <w:tcW w:w="1298" w:type="dxa"/>
            <w:tcBorders>
              <w:left w:val="single" w:color="auto" w:sz="4" w:space="0"/>
              <w:right w:val="single" w:color="auto" w:sz="4" w:space="0"/>
            </w:tcBorders>
            <w:vAlign w:val="center"/>
          </w:tcPr>
          <w:p w14:paraId="052237EF">
            <w:pPr>
              <w:pStyle w:val="32"/>
              <w:keepNext w:val="0"/>
              <w:keepLines w:val="0"/>
              <w:pageBreakBefore w:val="0"/>
              <w:widowControl/>
              <w:kinsoku/>
              <w:wordWrap/>
              <w:overflowPunct/>
              <w:topLinePunct w:val="0"/>
              <w:autoSpaceDE/>
              <w:autoSpaceDN/>
              <w:bidi w:val="0"/>
              <w:adjustRightInd/>
              <w:snapToGrid w:val="0"/>
              <w:spacing w:line="300" w:lineRule="exact"/>
              <w:contextualSpacing/>
              <w:jc w:val="center"/>
              <w:textAlignment w:val="auto"/>
              <w:rPr>
                <w:rFonts w:hint="eastAsia" w:asciiTheme="majorEastAsia" w:hAnsiTheme="majorEastAsia" w:eastAsiaTheme="majorEastAsia" w:cstheme="majorEastAsia"/>
                <w:color w:val="auto"/>
                <w:sz w:val="24"/>
                <w:szCs w:val="24"/>
                <w:lang w:val="en-US" w:eastAsia="zh-CN"/>
              </w:rPr>
            </w:pPr>
          </w:p>
        </w:tc>
      </w:tr>
      <w:tr w14:paraId="434E7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exact"/>
          <w:jc w:val="center"/>
        </w:trPr>
        <w:tc>
          <w:tcPr>
            <w:tcW w:w="781" w:type="dxa"/>
            <w:tcBorders>
              <w:left w:val="single" w:color="auto" w:sz="4" w:space="0"/>
              <w:right w:val="single" w:color="auto" w:sz="4" w:space="0"/>
            </w:tcBorders>
            <w:shd w:val="clear" w:color="auto" w:fill="F2DCDC" w:themeFill="accent2" w:themeFillTint="32"/>
            <w:vAlign w:val="center"/>
          </w:tcPr>
          <w:p w14:paraId="342A0D2D">
            <w:pPr>
              <w:pStyle w:val="32"/>
              <w:keepNext w:val="0"/>
              <w:keepLines w:val="0"/>
              <w:pageBreakBefore w:val="0"/>
              <w:widowControl/>
              <w:kinsoku/>
              <w:wordWrap/>
              <w:overflowPunct/>
              <w:topLinePunct w:val="0"/>
              <w:autoSpaceDE/>
              <w:autoSpaceDN/>
              <w:bidi w:val="0"/>
              <w:adjustRightInd/>
              <w:snapToGrid w:val="0"/>
              <w:spacing w:line="300" w:lineRule="exact"/>
              <w:contextualSpacing/>
              <w:jc w:val="center"/>
              <w:textAlignment w:val="auto"/>
              <w:rPr>
                <w:rFonts w:hint="default" w:asciiTheme="majorEastAsia" w:hAnsiTheme="majorEastAsia" w:eastAsiaTheme="majorEastAsia" w:cstheme="majorEastAsia"/>
                <w:b/>
                <w:bCs/>
                <w:color w:val="auto"/>
                <w:sz w:val="28"/>
                <w:szCs w:val="28"/>
                <w:lang w:val="en-US" w:eastAsia="zh-CN"/>
              </w:rPr>
            </w:pPr>
            <w:r>
              <w:rPr>
                <w:rFonts w:hint="eastAsia" w:asciiTheme="majorEastAsia" w:hAnsiTheme="majorEastAsia" w:eastAsiaTheme="majorEastAsia" w:cstheme="majorEastAsia"/>
                <w:b/>
                <w:bCs/>
                <w:color w:val="auto"/>
                <w:sz w:val="28"/>
                <w:szCs w:val="28"/>
                <w:lang w:val="en-US" w:eastAsia="zh-CN"/>
              </w:rPr>
              <w:t>合计</w:t>
            </w:r>
          </w:p>
        </w:tc>
        <w:tc>
          <w:tcPr>
            <w:tcW w:w="8487" w:type="dxa"/>
            <w:gridSpan w:val="7"/>
            <w:tcBorders>
              <w:top w:val="single" w:color="auto" w:sz="4" w:space="0"/>
              <w:left w:val="single" w:color="auto" w:sz="4" w:space="0"/>
              <w:right w:val="single" w:color="auto" w:sz="4" w:space="0"/>
            </w:tcBorders>
            <w:shd w:val="clear" w:color="auto" w:fill="F2DCDC" w:themeFill="accent2" w:themeFillTint="32"/>
            <w:vAlign w:val="center"/>
          </w:tcPr>
          <w:p w14:paraId="0DB7C292">
            <w:pPr>
              <w:pStyle w:val="32"/>
              <w:keepNext w:val="0"/>
              <w:keepLines w:val="0"/>
              <w:pageBreakBefore w:val="0"/>
              <w:widowControl/>
              <w:kinsoku/>
              <w:wordWrap/>
              <w:overflowPunct/>
              <w:topLinePunct w:val="0"/>
              <w:autoSpaceDE/>
              <w:autoSpaceDN/>
              <w:bidi w:val="0"/>
              <w:adjustRightInd/>
              <w:snapToGrid w:val="0"/>
              <w:spacing w:line="300" w:lineRule="exact"/>
              <w:contextualSpacing/>
              <w:jc w:val="left"/>
              <w:textAlignment w:val="auto"/>
              <w:rPr>
                <w:rFonts w:hint="eastAsia" w:asciiTheme="majorEastAsia" w:hAnsiTheme="majorEastAsia" w:eastAsiaTheme="majorEastAsia" w:cstheme="majorEastAsia"/>
                <w:b/>
                <w:bCs/>
                <w:color w:val="auto"/>
                <w:kern w:val="0"/>
                <w:sz w:val="28"/>
                <w:szCs w:val="28"/>
                <w:lang w:val="en-US" w:eastAsia="zh-CN"/>
              </w:rPr>
            </w:pPr>
            <w:r>
              <w:rPr>
                <w:rFonts w:hint="eastAsia" w:asciiTheme="majorEastAsia" w:hAnsiTheme="majorEastAsia" w:eastAsiaTheme="majorEastAsia" w:cstheme="majorEastAsia"/>
                <w:b/>
                <w:bCs/>
                <w:color w:val="auto"/>
                <w:kern w:val="0"/>
                <w:sz w:val="28"/>
                <w:szCs w:val="28"/>
                <w:lang w:val="en-US" w:eastAsia="zh-CN"/>
              </w:rPr>
              <w:t>大写：</w:t>
            </w:r>
          </w:p>
          <w:p w14:paraId="75A9D822">
            <w:pPr>
              <w:pStyle w:val="32"/>
              <w:keepNext w:val="0"/>
              <w:keepLines w:val="0"/>
              <w:pageBreakBefore w:val="0"/>
              <w:widowControl/>
              <w:kinsoku/>
              <w:wordWrap/>
              <w:overflowPunct/>
              <w:topLinePunct w:val="0"/>
              <w:autoSpaceDE/>
              <w:autoSpaceDN/>
              <w:bidi w:val="0"/>
              <w:adjustRightInd/>
              <w:snapToGrid w:val="0"/>
              <w:spacing w:line="300" w:lineRule="exact"/>
              <w:contextualSpacing/>
              <w:jc w:val="both"/>
              <w:textAlignment w:val="auto"/>
              <w:rPr>
                <w:rFonts w:hint="eastAsia" w:asciiTheme="majorEastAsia" w:hAnsiTheme="majorEastAsia" w:eastAsiaTheme="majorEastAsia" w:cstheme="majorEastAsia"/>
                <w:b/>
                <w:bCs/>
                <w:color w:val="auto"/>
                <w:kern w:val="0"/>
                <w:sz w:val="28"/>
                <w:szCs w:val="28"/>
                <w:lang w:val="en-US" w:eastAsia="zh-CN"/>
              </w:rPr>
            </w:pPr>
            <w:r>
              <w:rPr>
                <w:rFonts w:hint="eastAsia" w:asciiTheme="majorEastAsia" w:hAnsiTheme="majorEastAsia" w:eastAsiaTheme="majorEastAsia" w:cstheme="majorEastAsia"/>
                <w:b/>
                <w:bCs/>
                <w:color w:val="auto"/>
                <w:kern w:val="0"/>
                <w:sz w:val="28"/>
                <w:szCs w:val="28"/>
                <w:lang w:val="en-US" w:eastAsia="zh-CN"/>
              </w:rPr>
              <w:t>小写：</w:t>
            </w:r>
          </w:p>
        </w:tc>
      </w:tr>
    </w:tbl>
    <w:p w14:paraId="378A6BF1">
      <w:pPr>
        <w:ind w:firstLine="482"/>
        <w:rPr>
          <w:rFonts w:hint="eastAsia"/>
          <w:b/>
          <w:bCs/>
          <w:color w:val="auto"/>
          <w:highlight w:val="none"/>
          <w:lang w:val="en-US" w:eastAsia="zh-CN"/>
        </w:rPr>
      </w:pPr>
    </w:p>
    <w:p w14:paraId="0967FFF7">
      <w:pPr>
        <w:ind w:firstLine="482"/>
        <w:rPr>
          <w:rFonts w:hint="eastAsia"/>
          <w:b/>
          <w:bCs/>
          <w:color w:val="auto"/>
          <w:highlight w:val="none"/>
        </w:rPr>
      </w:pPr>
      <w:r>
        <w:rPr>
          <w:rFonts w:hint="eastAsia"/>
          <w:b/>
          <w:bCs/>
          <w:color w:val="auto"/>
          <w:highlight w:val="none"/>
        </w:rPr>
        <w:t>注：</w:t>
      </w:r>
    </w:p>
    <w:p w14:paraId="39C55340">
      <w:pPr>
        <w:numPr>
          <w:ilvl w:val="0"/>
          <w:numId w:val="0"/>
        </w:numPr>
        <w:ind w:firstLine="482" w:firstLineChars="200"/>
        <w:rPr>
          <w:rFonts w:hint="eastAsia"/>
          <w:b/>
          <w:bCs/>
          <w:color w:val="auto"/>
          <w:highlight w:val="none"/>
        </w:rPr>
      </w:pPr>
      <w:r>
        <w:rPr>
          <w:rFonts w:hint="eastAsia" w:ascii="宋体" w:hAnsi="宋体" w:eastAsia="宋体" w:cs="宋体"/>
          <w:b/>
          <w:bCs/>
          <w:color w:val="auto"/>
          <w:kern w:val="2"/>
          <w:sz w:val="24"/>
          <w:szCs w:val="24"/>
          <w:lang w:val="en-US" w:eastAsia="zh-CN" w:bidi="ar-SA"/>
        </w:rPr>
        <w:t>1.</w:t>
      </w:r>
      <w:r>
        <w:rPr>
          <w:rFonts w:hint="eastAsia"/>
          <w:b/>
          <w:bCs/>
          <w:color w:val="auto"/>
          <w:highlight w:val="none"/>
        </w:rPr>
        <w:t>本表须机打并加盖报价单位公章，手填无效、</w:t>
      </w:r>
      <w:r>
        <w:rPr>
          <w:rFonts w:hint="eastAsia"/>
          <w:b/>
          <w:bCs/>
          <w:color w:val="auto"/>
          <w:highlight w:val="none"/>
          <w:lang w:val="en-US" w:eastAsia="zh-CN"/>
        </w:rPr>
        <w:t>改动无效、</w:t>
      </w:r>
      <w:r>
        <w:rPr>
          <w:rFonts w:hint="eastAsia"/>
          <w:b/>
          <w:bCs/>
          <w:color w:val="auto"/>
          <w:highlight w:val="none"/>
        </w:rPr>
        <w:t>复印件无效。</w:t>
      </w:r>
    </w:p>
    <w:p w14:paraId="78DFA69D">
      <w:pPr>
        <w:numPr>
          <w:ilvl w:val="0"/>
          <w:numId w:val="0"/>
        </w:numPr>
        <w:ind w:firstLine="482" w:firstLineChars="200"/>
        <w:rPr>
          <w:rFonts w:hint="eastAsia"/>
          <w:b/>
          <w:bCs/>
          <w:color w:val="auto"/>
          <w:highlight w:val="none"/>
        </w:rPr>
      </w:pPr>
      <w:r>
        <w:rPr>
          <w:rFonts w:hint="eastAsia"/>
          <w:b/>
          <w:bCs/>
          <w:color w:val="auto"/>
          <w:highlight w:val="none"/>
        </w:rPr>
        <w:t>2.</w:t>
      </w:r>
      <w:r>
        <w:rPr>
          <w:rFonts w:hint="eastAsia"/>
          <w:b/>
          <w:bCs/>
          <w:color w:val="auto"/>
          <w:highlight w:val="none"/>
          <w:lang w:val="en-US" w:eastAsia="zh-CN"/>
        </w:rPr>
        <w:t>本</w:t>
      </w:r>
      <w:r>
        <w:rPr>
          <w:rFonts w:hint="eastAsia"/>
          <w:b/>
          <w:bCs/>
          <w:color w:val="auto"/>
          <w:highlight w:val="none"/>
        </w:rPr>
        <w:t>表后</w:t>
      </w:r>
      <w:r>
        <w:rPr>
          <w:rFonts w:hint="eastAsia"/>
          <w:b/>
          <w:bCs/>
          <w:color w:val="auto"/>
          <w:highlight w:val="none"/>
          <w:lang w:val="en-US" w:eastAsia="zh-CN"/>
        </w:rPr>
        <w:t>请</w:t>
      </w:r>
      <w:r>
        <w:rPr>
          <w:rFonts w:hint="eastAsia"/>
          <w:b/>
          <w:bCs/>
          <w:color w:val="auto"/>
          <w:highlight w:val="none"/>
        </w:rPr>
        <w:t>附上相关材料并加盖报价单位公章。</w:t>
      </w:r>
    </w:p>
    <w:p w14:paraId="3EB82315">
      <w:pPr>
        <w:ind w:left="0" w:leftChars="0" w:firstLine="0" w:firstLineChars="0"/>
        <w:rPr>
          <w:rFonts w:hint="eastAsia" w:ascii="微软雅黑" w:hAnsi="微软雅黑"/>
          <w:b/>
          <w:color w:val="auto"/>
          <w:highlight w:val="none"/>
        </w:rPr>
      </w:pPr>
    </w:p>
    <w:p w14:paraId="52E7D112">
      <w:pPr>
        <w:ind w:firstLine="482"/>
        <w:rPr>
          <w:rFonts w:hint="eastAsia" w:ascii="微软雅黑" w:hAnsi="微软雅黑"/>
          <w:b/>
          <w:color w:val="auto"/>
          <w:highlight w:val="none"/>
        </w:rPr>
      </w:pPr>
    </w:p>
    <w:p w14:paraId="275B9383">
      <w:pPr>
        <w:pStyle w:val="4"/>
        <w:rPr>
          <w:rFonts w:hint="eastAsia" w:ascii="微软雅黑" w:hAnsi="微软雅黑"/>
          <w:b/>
          <w:color w:val="auto"/>
          <w:highlight w:val="none"/>
        </w:rPr>
      </w:pPr>
    </w:p>
    <w:p w14:paraId="38F87EE3">
      <w:pPr>
        <w:rPr>
          <w:rFonts w:hint="eastAsia"/>
        </w:rPr>
      </w:pPr>
    </w:p>
    <w:p w14:paraId="49E437C6">
      <w:pPr>
        <w:ind w:firstLine="482"/>
        <w:rPr>
          <w:rFonts w:hint="eastAsia" w:ascii="微软雅黑" w:hAnsi="微软雅黑"/>
          <w:b/>
          <w:color w:val="auto"/>
          <w:highlight w:val="none"/>
        </w:rPr>
      </w:pPr>
    </w:p>
    <w:p w14:paraId="3926B5CB">
      <w:pPr>
        <w:ind w:firstLine="482"/>
        <w:rPr>
          <w:rFonts w:hint="eastAsia" w:ascii="微软雅黑" w:hAnsi="微软雅黑"/>
          <w:b/>
          <w:color w:val="auto"/>
          <w:highlight w:val="none"/>
        </w:rPr>
      </w:pPr>
      <w:r>
        <w:rPr>
          <w:rFonts w:hint="eastAsia" w:ascii="微软雅黑" w:hAnsi="微软雅黑"/>
          <w:b/>
          <w:color w:val="auto"/>
          <w:highlight w:val="none"/>
        </w:rPr>
        <w:t>报价单位（盖章）：</w:t>
      </w:r>
      <w:r>
        <w:rPr>
          <w:rFonts w:hint="eastAsia" w:ascii="微软雅黑" w:hAnsi="微软雅黑"/>
          <w:b/>
          <w:color w:val="auto"/>
          <w:highlight w:val="none"/>
          <w:u w:val="single"/>
        </w:rPr>
        <w:t xml:space="preserve">                  </w:t>
      </w:r>
    </w:p>
    <w:p w14:paraId="1D190C6F">
      <w:pPr>
        <w:ind w:firstLine="482"/>
        <w:rPr>
          <w:rFonts w:hint="eastAsia" w:ascii="微软雅黑" w:hAnsi="微软雅黑"/>
          <w:b/>
          <w:color w:val="auto"/>
          <w:highlight w:val="none"/>
          <w:u w:val="single"/>
        </w:rPr>
      </w:pPr>
      <w:r>
        <w:rPr>
          <w:rFonts w:hint="eastAsia" w:ascii="微软雅黑" w:hAnsi="微软雅黑"/>
          <w:b/>
          <w:color w:val="auto"/>
          <w:highlight w:val="none"/>
        </w:rPr>
        <w:t>报价联系人：</w:t>
      </w:r>
      <w:r>
        <w:rPr>
          <w:rFonts w:hint="eastAsia" w:ascii="微软雅黑" w:hAnsi="微软雅黑"/>
          <w:b/>
          <w:color w:val="auto"/>
          <w:highlight w:val="none"/>
          <w:u w:val="single"/>
        </w:rPr>
        <w:t xml:space="preserve">                        </w:t>
      </w:r>
    </w:p>
    <w:p w14:paraId="64FEB013">
      <w:pPr>
        <w:ind w:firstLine="482"/>
        <w:rPr>
          <w:rFonts w:hint="eastAsia" w:ascii="微软雅黑" w:hAnsi="微软雅黑"/>
          <w:b/>
          <w:color w:val="auto"/>
          <w:highlight w:val="none"/>
        </w:rPr>
      </w:pPr>
      <w:r>
        <w:rPr>
          <w:rFonts w:hint="eastAsia" w:ascii="微软雅黑" w:hAnsi="微软雅黑"/>
          <w:b/>
          <w:color w:val="auto"/>
          <w:highlight w:val="none"/>
        </w:rPr>
        <w:t>报价联系人电话：</w:t>
      </w:r>
      <w:r>
        <w:rPr>
          <w:rFonts w:hint="eastAsia" w:ascii="微软雅黑" w:hAnsi="微软雅黑"/>
          <w:b/>
          <w:color w:val="auto"/>
          <w:highlight w:val="none"/>
          <w:u w:val="single"/>
        </w:rPr>
        <w:t xml:space="preserve">                    </w:t>
      </w:r>
    </w:p>
    <w:p w14:paraId="308FA6F1">
      <w:pPr>
        <w:ind w:firstLine="482"/>
        <w:rPr>
          <w:rFonts w:hint="eastAsia"/>
          <w:color w:val="auto"/>
          <w:highlight w:val="none"/>
        </w:rPr>
      </w:pPr>
      <w:r>
        <w:rPr>
          <w:rFonts w:hint="eastAsia" w:ascii="微软雅黑" w:hAnsi="微软雅黑"/>
          <w:b/>
          <w:color w:val="auto"/>
          <w:highlight w:val="none"/>
        </w:rPr>
        <w:t>日期：</w:t>
      </w:r>
      <w:r>
        <w:rPr>
          <w:rFonts w:hint="eastAsia" w:ascii="微软雅黑" w:hAnsi="微软雅黑"/>
          <w:b/>
          <w:color w:val="auto"/>
          <w:highlight w:val="none"/>
          <w:u w:val="single"/>
        </w:rPr>
        <w:t xml:space="preserve">        </w:t>
      </w:r>
      <w:r>
        <w:rPr>
          <w:rFonts w:hint="eastAsia" w:ascii="微软雅黑" w:hAnsi="微软雅黑"/>
          <w:b/>
          <w:color w:val="auto"/>
          <w:highlight w:val="none"/>
        </w:rPr>
        <w:t>年</w:t>
      </w:r>
      <w:r>
        <w:rPr>
          <w:rFonts w:hint="eastAsia" w:ascii="微软雅黑" w:hAnsi="微软雅黑"/>
          <w:b/>
          <w:color w:val="auto"/>
          <w:highlight w:val="none"/>
          <w:u w:val="single"/>
        </w:rPr>
        <w:t xml:space="preserve">        </w:t>
      </w:r>
      <w:r>
        <w:rPr>
          <w:rFonts w:hint="eastAsia" w:ascii="微软雅黑" w:hAnsi="微软雅黑"/>
          <w:b/>
          <w:color w:val="auto"/>
          <w:highlight w:val="none"/>
        </w:rPr>
        <w:t>月</w:t>
      </w:r>
      <w:r>
        <w:rPr>
          <w:rFonts w:hint="eastAsia" w:ascii="微软雅黑" w:hAnsi="微软雅黑"/>
          <w:b/>
          <w:color w:val="auto"/>
          <w:highlight w:val="none"/>
          <w:u w:val="single"/>
        </w:rPr>
        <w:t xml:space="preserve">        </w:t>
      </w:r>
      <w:r>
        <w:rPr>
          <w:rFonts w:hint="eastAsia" w:ascii="微软雅黑" w:hAnsi="微软雅黑"/>
          <w:b/>
          <w:color w:val="auto"/>
          <w:highlight w:val="none"/>
        </w:rPr>
        <w:t>日</w:t>
      </w:r>
    </w:p>
    <w:sectPr>
      <w:footerReference r:id="rId5" w:type="default"/>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8"/>
    <w:family w:val="roman"/>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0FE2E4B-832E-4F35-AF82-D17F5F79931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embedRegular r:id="rId2" w:fontKey="{6379FAF9-57D0-49A8-B208-374BC14DF5A3}"/>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259398">
    <w:pPr>
      <w:pStyle w:val="5"/>
      <w:ind w:firstLine="360"/>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6EA89F">
                          <w:pPr>
                            <w:pStyle w:val="5"/>
                            <w:ind w:firstLine="360"/>
                            <w:rPr>
                              <w:rFonts w:hint="eastAsia"/>
                            </w:rP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666EA89F">
                    <w:pPr>
                      <w:pStyle w:val="5"/>
                      <w:ind w:firstLine="360"/>
                      <w:rPr>
                        <w:rFonts w:hint="eastAsia"/>
                      </w:rPr>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7"/>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M2ZWVlYmU5MDFlMTg3OGQ0MzJjYTgyYWUwNjFmM2QifQ=="/>
  </w:docVars>
  <w:rsids>
    <w:rsidRoot w:val="004C249C"/>
    <w:rsid w:val="00021C9A"/>
    <w:rsid w:val="00025189"/>
    <w:rsid w:val="000B1E23"/>
    <w:rsid w:val="000E79D1"/>
    <w:rsid w:val="00162C27"/>
    <w:rsid w:val="00167319"/>
    <w:rsid w:val="001A4025"/>
    <w:rsid w:val="001E4F0E"/>
    <w:rsid w:val="001F3271"/>
    <w:rsid w:val="0022166F"/>
    <w:rsid w:val="00237AF0"/>
    <w:rsid w:val="002654DD"/>
    <w:rsid w:val="002E4CB4"/>
    <w:rsid w:val="003D0385"/>
    <w:rsid w:val="003F7D60"/>
    <w:rsid w:val="004905F4"/>
    <w:rsid w:val="00497DD2"/>
    <w:rsid w:val="004A7E8C"/>
    <w:rsid w:val="004C249C"/>
    <w:rsid w:val="004E364B"/>
    <w:rsid w:val="00517D97"/>
    <w:rsid w:val="005A7BB7"/>
    <w:rsid w:val="005C3EDF"/>
    <w:rsid w:val="006463F0"/>
    <w:rsid w:val="0067669C"/>
    <w:rsid w:val="007619AD"/>
    <w:rsid w:val="00793477"/>
    <w:rsid w:val="00810326"/>
    <w:rsid w:val="008409DF"/>
    <w:rsid w:val="00841A43"/>
    <w:rsid w:val="008935A4"/>
    <w:rsid w:val="00914D81"/>
    <w:rsid w:val="00995CF3"/>
    <w:rsid w:val="00C82940"/>
    <w:rsid w:val="00C90A17"/>
    <w:rsid w:val="00D812FA"/>
    <w:rsid w:val="00DC2BA3"/>
    <w:rsid w:val="00DD29EC"/>
    <w:rsid w:val="00DE1B58"/>
    <w:rsid w:val="00DE4E57"/>
    <w:rsid w:val="00E762B9"/>
    <w:rsid w:val="00EE3402"/>
    <w:rsid w:val="04357062"/>
    <w:rsid w:val="043A3F7F"/>
    <w:rsid w:val="06CF49EE"/>
    <w:rsid w:val="06F169D5"/>
    <w:rsid w:val="07962F6B"/>
    <w:rsid w:val="09015C00"/>
    <w:rsid w:val="093E4E1B"/>
    <w:rsid w:val="0A197F99"/>
    <w:rsid w:val="0BBF0B95"/>
    <w:rsid w:val="0CAD246E"/>
    <w:rsid w:val="0F925EDB"/>
    <w:rsid w:val="0FA46178"/>
    <w:rsid w:val="11B955AA"/>
    <w:rsid w:val="11F8062F"/>
    <w:rsid w:val="123D59F0"/>
    <w:rsid w:val="12A92412"/>
    <w:rsid w:val="13CC58CF"/>
    <w:rsid w:val="14C30590"/>
    <w:rsid w:val="15B04DA6"/>
    <w:rsid w:val="15B2446E"/>
    <w:rsid w:val="175B7696"/>
    <w:rsid w:val="1D825F8A"/>
    <w:rsid w:val="1E6F6AB7"/>
    <w:rsid w:val="1F2F67F8"/>
    <w:rsid w:val="1FF61864"/>
    <w:rsid w:val="233954CD"/>
    <w:rsid w:val="238B30B1"/>
    <w:rsid w:val="245D5F82"/>
    <w:rsid w:val="2460458F"/>
    <w:rsid w:val="24A10923"/>
    <w:rsid w:val="28000417"/>
    <w:rsid w:val="28A10C81"/>
    <w:rsid w:val="2A374126"/>
    <w:rsid w:val="2D104627"/>
    <w:rsid w:val="2EB9636F"/>
    <w:rsid w:val="2F17703D"/>
    <w:rsid w:val="2F5716BB"/>
    <w:rsid w:val="2F674D39"/>
    <w:rsid w:val="2FC242FE"/>
    <w:rsid w:val="318D46C1"/>
    <w:rsid w:val="31A46577"/>
    <w:rsid w:val="321F1D9E"/>
    <w:rsid w:val="33DF1CA4"/>
    <w:rsid w:val="347F541B"/>
    <w:rsid w:val="34C61DF8"/>
    <w:rsid w:val="36057E99"/>
    <w:rsid w:val="36AB4E16"/>
    <w:rsid w:val="370321B4"/>
    <w:rsid w:val="373A325A"/>
    <w:rsid w:val="37E666B0"/>
    <w:rsid w:val="381D5FBF"/>
    <w:rsid w:val="3848736B"/>
    <w:rsid w:val="38F67245"/>
    <w:rsid w:val="39184392"/>
    <w:rsid w:val="393E69DD"/>
    <w:rsid w:val="3B007A89"/>
    <w:rsid w:val="3D271561"/>
    <w:rsid w:val="3D736C38"/>
    <w:rsid w:val="3D905D1F"/>
    <w:rsid w:val="3DC52364"/>
    <w:rsid w:val="3E342485"/>
    <w:rsid w:val="3F926784"/>
    <w:rsid w:val="40DE6ABE"/>
    <w:rsid w:val="429B1ADD"/>
    <w:rsid w:val="430F5A73"/>
    <w:rsid w:val="457658FB"/>
    <w:rsid w:val="461B50D6"/>
    <w:rsid w:val="466D219E"/>
    <w:rsid w:val="47110A06"/>
    <w:rsid w:val="474E5A45"/>
    <w:rsid w:val="47982AD9"/>
    <w:rsid w:val="495F27BF"/>
    <w:rsid w:val="4B9E5C7D"/>
    <w:rsid w:val="4BCB58FB"/>
    <w:rsid w:val="4DD52FF7"/>
    <w:rsid w:val="4DF65B96"/>
    <w:rsid w:val="4E026A2F"/>
    <w:rsid w:val="4F2F37EA"/>
    <w:rsid w:val="4F713616"/>
    <w:rsid w:val="4FDA48F5"/>
    <w:rsid w:val="5067133A"/>
    <w:rsid w:val="52D01FDF"/>
    <w:rsid w:val="54D03D2F"/>
    <w:rsid w:val="557650C0"/>
    <w:rsid w:val="561D19DF"/>
    <w:rsid w:val="5A861394"/>
    <w:rsid w:val="5B70435F"/>
    <w:rsid w:val="5BF63A6F"/>
    <w:rsid w:val="5C2869E8"/>
    <w:rsid w:val="5CC127F0"/>
    <w:rsid w:val="5D5D67A0"/>
    <w:rsid w:val="5DE828D3"/>
    <w:rsid w:val="5F9A5558"/>
    <w:rsid w:val="605B13E0"/>
    <w:rsid w:val="60661425"/>
    <w:rsid w:val="606D056D"/>
    <w:rsid w:val="63445FF1"/>
    <w:rsid w:val="63473BF7"/>
    <w:rsid w:val="6445389F"/>
    <w:rsid w:val="6843464A"/>
    <w:rsid w:val="692913D0"/>
    <w:rsid w:val="699036DA"/>
    <w:rsid w:val="6A0F0456"/>
    <w:rsid w:val="6CDB15DA"/>
    <w:rsid w:val="6D35574F"/>
    <w:rsid w:val="6E006F47"/>
    <w:rsid w:val="6EA10F57"/>
    <w:rsid w:val="720728D4"/>
    <w:rsid w:val="73833D44"/>
    <w:rsid w:val="738531BD"/>
    <w:rsid w:val="73AD7BD7"/>
    <w:rsid w:val="74561EEC"/>
    <w:rsid w:val="759E3647"/>
    <w:rsid w:val="7728396C"/>
    <w:rsid w:val="787E5EB6"/>
    <w:rsid w:val="78EE4F4E"/>
    <w:rsid w:val="7B073582"/>
    <w:rsid w:val="7B343C78"/>
    <w:rsid w:val="7B4B0B6C"/>
    <w:rsid w:val="7D3E065E"/>
    <w:rsid w:val="7EBE53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400" w:lineRule="exact"/>
      <w:ind w:firstLine="480" w:firstLineChars="200"/>
    </w:pPr>
    <w:rPr>
      <w:rFonts w:ascii="宋体" w:hAnsi="宋体" w:eastAsia="宋体" w:cs="宋体"/>
      <w:kern w:val="2"/>
      <w:sz w:val="24"/>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style>
  <w:style w:type="paragraph" w:styleId="4">
    <w:name w:val="Body Text"/>
    <w:basedOn w:val="1"/>
    <w:next w:val="1"/>
    <w:qFormat/>
    <w:uiPriority w:val="0"/>
    <w:pPr>
      <w:spacing w:after="120"/>
    </w:pPr>
    <w:rPr>
      <w:rFonts w:ascii="Times New Roman" w:hAnsi="Times New Roman"/>
    </w:rPr>
  </w:style>
  <w:style w:type="paragraph" w:styleId="5">
    <w:name w:val="footer"/>
    <w:basedOn w:val="1"/>
    <w:qFormat/>
    <w:uiPriority w:val="0"/>
    <w:pPr>
      <w:tabs>
        <w:tab w:val="center" w:pos="4153"/>
        <w:tab w:val="right" w:pos="8306"/>
      </w:tabs>
      <w:snapToGrid w:val="0"/>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spacing w:beforeAutospacing="1" w:afterAutospacing="1"/>
    </w:pPr>
    <w:rPr>
      <w:kern w:val="0"/>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FollowedHyperlink"/>
    <w:basedOn w:val="10"/>
    <w:autoRedefine/>
    <w:qFormat/>
    <w:uiPriority w:val="0"/>
    <w:rPr>
      <w:rFonts w:hint="eastAsia" w:ascii="微软雅黑" w:hAnsi="微软雅黑" w:eastAsia="微软雅黑" w:cs="微软雅黑"/>
      <w:color w:val="02396F"/>
      <w:u w:val="single"/>
    </w:rPr>
  </w:style>
  <w:style w:type="character" w:styleId="12">
    <w:name w:val="Hyperlink"/>
    <w:basedOn w:val="10"/>
    <w:autoRedefine/>
    <w:qFormat/>
    <w:uiPriority w:val="0"/>
    <w:rPr>
      <w:rFonts w:hint="eastAsia" w:ascii="微软雅黑" w:hAnsi="微软雅黑" w:eastAsia="微软雅黑" w:cs="微软雅黑"/>
      <w:color w:val="02396F"/>
      <w:u w:val="single"/>
    </w:rPr>
  </w:style>
  <w:style w:type="paragraph" w:customStyle="1" w:styleId="13">
    <w:name w:val="正文文本1"/>
    <w:basedOn w:val="1"/>
    <w:next w:val="1"/>
    <w:unhideWhenUsed/>
    <w:qFormat/>
    <w:uiPriority w:val="0"/>
    <w:pPr>
      <w:spacing w:after="120"/>
    </w:pPr>
  </w:style>
  <w:style w:type="character" w:customStyle="1" w:styleId="14">
    <w:name w:val="qxdate"/>
    <w:basedOn w:val="10"/>
    <w:autoRedefine/>
    <w:qFormat/>
    <w:uiPriority w:val="0"/>
    <w:rPr>
      <w:color w:val="333333"/>
      <w:sz w:val="18"/>
      <w:szCs w:val="18"/>
    </w:rPr>
  </w:style>
  <w:style w:type="character" w:customStyle="1" w:styleId="15">
    <w:name w:val="displayarti"/>
    <w:basedOn w:val="10"/>
    <w:autoRedefine/>
    <w:qFormat/>
    <w:uiPriority w:val="0"/>
    <w:rPr>
      <w:color w:val="FFFFFF"/>
      <w:shd w:val="clear" w:color="auto" w:fill="A00000"/>
    </w:rPr>
  </w:style>
  <w:style w:type="character" w:customStyle="1" w:styleId="16">
    <w:name w:val="redfilefwwh"/>
    <w:basedOn w:val="10"/>
    <w:autoRedefine/>
    <w:qFormat/>
    <w:uiPriority w:val="0"/>
    <w:rPr>
      <w:color w:val="BA2636"/>
      <w:sz w:val="18"/>
      <w:szCs w:val="18"/>
    </w:rPr>
  </w:style>
  <w:style w:type="character" w:customStyle="1" w:styleId="17">
    <w:name w:val="prev2"/>
    <w:basedOn w:val="10"/>
    <w:autoRedefine/>
    <w:qFormat/>
    <w:uiPriority w:val="0"/>
    <w:rPr>
      <w:color w:val="888888"/>
    </w:rPr>
  </w:style>
  <w:style w:type="character" w:customStyle="1" w:styleId="18">
    <w:name w:val="prev3"/>
    <w:basedOn w:val="10"/>
    <w:autoRedefine/>
    <w:qFormat/>
    <w:uiPriority w:val="0"/>
    <w:rPr>
      <w:rFonts w:ascii="微软雅黑" w:hAnsi="微软雅黑" w:eastAsia="微软雅黑" w:cs="微软雅黑"/>
      <w:sz w:val="21"/>
      <w:szCs w:val="21"/>
    </w:rPr>
  </w:style>
  <w:style w:type="character" w:customStyle="1" w:styleId="19">
    <w:name w:val="next2"/>
    <w:basedOn w:val="10"/>
    <w:autoRedefine/>
    <w:qFormat/>
    <w:uiPriority w:val="0"/>
    <w:rPr>
      <w:color w:val="888888"/>
    </w:rPr>
  </w:style>
  <w:style w:type="character" w:customStyle="1" w:styleId="20">
    <w:name w:val="next3"/>
    <w:basedOn w:val="10"/>
    <w:autoRedefine/>
    <w:qFormat/>
    <w:uiPriority w:val="0"/>
    <w:rPr>
      <w:rFonts w:hint="eastAsia" w:ascii="微软雅黑" w:hAnsi="微软雅黑" w:eastAsia="微软雅黑" w:cs="微软雅黑"/>
      <w:sz w:val="21"/>
      <w:szCs w:val="21"/>
    </w:rPr>
  </w:style>
  <w:style w:type="character" w:customStyle="1" w:styleId="21">
    <w:name w:val="cfdate"/>
    <w:basedOn w:val="10"/>
    <w:autoRedefine/>
    <w:qFormat/>
    <w:uiPriority w:val="0"/>
    <w:rPr>
      <w:color w:val="333333"/>
      <w:sz w:val="18"/>
      <w:szCs w:val="18"/>
    </w:rPr>
  </w:style>
  <w:style w:type="character" w:customStyle="1" w:styleId="22">
    <w:name w:val="redfilenumber"/>
    <w:basedOn w:val="10"/>
    <w:autoRedefine/>
    <w:qFormat/>
    <w:uiPriority w:val="0"/>
    <w:rPr>
      <w:color w:val="BA2636"/>
      <w:sz w:val="18"/>
      <w:szCs w:val="18"/>
    </w:rPr>
  </w:style>
  <w:style w:type="character" w:customStyle="1" w:styleId="23">
    <w:name w:val="gjfg"/>
    <w:basedOn w:val="10"/>
    <w:autoRedefine/>
    <w:qFormat/>
    <w:uiPriority w:val="0"/>
  </w:style>
  <w:style w:type="character" w:customStyle="1" w:styleId="24">
    <w:name w:val="next"/>
    <w:basedOn w:val="10"/>
    <w:autoRedefine/>
    <w:qFormat/>
    <w:uiPriority w:val="0"/>
    <w:rPr>
      <w:rFonts w:ascii="微软雅黑" w:hAnsi="微软雅黑" w:eastAsia="微软雅黑" w:cs="微软雅黑"/>
      <w:sz w:val="21"/>
      <w:szCs w:val="21"/>
    </w:rPr>
  </w:style>
  <w:style w:type="character" w:customStyle="1" w:styleId="25">
    <w:name w:val="next1"/>
    <w:basedOn w:val="10"/>
    <w:autoRedefine/>
    <w:qFormat/>
    <w:uiPriority w:val="0"/>
    <w:rPr>
      <w:color w:val="888888"/>
    </w:rPr>
  </w:style>
  <w:style w:type="character" w:customStyle="1" w:styleId="26">
    <w:name w:val="prev"/>
    <w:basedOn w:val="10"/>
    <w:autoRedefine/>
    <w:qFormat/>
    <w:uiPriority w:val="0"/>
    <w:rPr>
      <w:rFonts w:hint="eastAsia" w:ascii="微软雅黑" w:hAnsi="微软雅黑" w:eastAsia="微软雅黑" w:cs="微软雅黑"/>
      <w:sz w:val="21"/>
      <w:szCs w:val="21"/>
    </w:rPr>
  </w:style>
  <w:style w:type="character" w:customStyle="1" w:styleId="27">
    <w:name w:val="prev1"/>
    <w:basedOn w:val="10"/>
    <w:autoRedefine/>
    <w:qFormat/>
    <w:uiPriority w:val="0"/>
    <w:rPr>
      <w:color w:val="888888"/>
    </w:rPr>
  </w:style>
  <w:style w:type="paragraph" w:customStyle="1" w:styleId="28">
    <w:name w:val="Table Text"/>
    <w:basedOn w:val="1"/>
    <w:semiHidden/>
    <w:qFormat/>
    <w:uiPriority w:val="0"/>
    <w:rPr>
      <w:rFonts w:ascii="仿宋" w:hAnsi="仿宋" w:eastAsia="仿宋" w:cs="仿宋"/>
      <w:lang w:eastAsia="en-US"/>
    </w:rPr>
  </w:style>
  <w:style w:type="table" w:customStyle="1" w:styleId="29">
    <w:name w:val="Table Normal"/>
    <w:semiHidden/>
    <w:unhideWhenUsed/>
    <w:qFormat/>
    <w:uiPriority w:val="0"/>
    <w:tblPr>
      <w:tblCellMar>
        <w:top w:w="0" w:type="dxa"/>
        <w:left w:w="0" w:type="dxa"/>
        <w:bottom w:w="0" w:type="dxa"/>
        <w:right w:w="0" w:type="dxa"/>
      </w:tblCellMar>
    </w:tblPr>
  </w:style>
  <w:style w:type="table" w:customStyle="1" w:styleId="30">
    <w:name w:val="网格型1"/>
    <w:basedOn w:val="8"/>
    <w:qFormat/>
    <w:uiPriority w:val="0"/>
    <w:tblPr>
      <w:tblCellMar>
        <w:left w:w="0" w:type="dxa"/>
        <w:right w:w="0" w:type="dxa"/>
      </w:tblCellMar>
    </w:tblPr>
  </w:style>
  <w:style w:type="paragraph" w:styleId="31">
    <w:name w:val="List Paragraph"/>
    <w:basedOn w:val="1"/>
    <w:qFormat/>
    <w:uiPriority w:val="34"/>
    <w:pPr>
      <w:ind w:firstLine="420"/>
    </w:pPr>
    <w:rPr>
      <w:rFonts w:ascii="Times New Roman" w:hAnsi="Times New Roman"/>
    </w:rPr>
  </w:style>
  <w:style w:type="paragraph" w:customStyle="1" w:styleId="32">
    <w:name w:val="正文_6_0_0"/>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7147</Words>
  <Characters>8236</Characters>
  <Lines>150</Lines>
  <Paragraphs>241</Paragraphs>
  <TotalTime>44</TotalTime>
  <ScaleCrop>false</ScaleCrop>
  <LinksUpToDate>false</LinksUpToDate>
  <CharactersWithSpaces>8364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2025-03-03T09:26:00Z</dcterms:created>
  <dc:creator>12369</dc:creator>
  <cp:lastModifiedBy>快乐的小花花￡*</cp:lastModifiedBy>
  <cp:lastPrinted>2025-03-03T09:02:00Z</cp:lastPrinted>
  <dcterms:modified xsi:type="dcterms:W3CDTF">2025-12-15T01:49:16Z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DAAD0F2AB9324D998F1E38480D59F11A_13</vt:lpwstr>
  </property>
  <property fmtid="{D5CDD505-2E9C-101B-9397-08002B2CF9AE}" pid="4" name="KSOTemplateDocerSaveRecord">
    <vt:lpwstr>eyJoZGlkIjoiMmViZjU4YTQ3YzY4NzMwMjMxODFlNDI4ZjkyNTk3N2UiLCJ1c2VySWQiOiIzMDQyOTkyNjQifQ==</vt:lpwstr>
  </property>
</Properties>
</file>