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32"/>
          <w:szCs w:val="32"/>
        </w:rPr>
      </w:pPr>
      <w:r>
        <w:rPr>
          <w:rFonts w:hint="eastAsia" w:ascii="黑体" w:hAnsi="黑体" w:eastAsia="黑体" w:cs="Times New Roman"/>
          <w:sz w:val="32"/>
          <w:szCs w:val="32"/>
          <w:lang w:val="en-US" w:eastAsia="zh-CN"/>
        </w:rPr>
        <w:t>环保</w:t>
      </w:r>
      <w:r>
        <w:rPr>
          <w:rFonts w:hint="eastAsia" w:ascii="黑体" w:hAnsi="黑体" w:eastAsia="黑体" w:cs="Times New Roman"/>
          <w:sz w:val="32"/>
          <w:szCs w:val="32"/>
        </w:rPr>
        <w:t>检查整改</w:t>
      </w:r>
      <w:r>
        <w:rPr>
          <w:rFonts w:hint="eastAsia" w:ascii="黑体" w:hAnsi="黑体" w:eastAsia="黑体" w:cs="Times New Roman"/>
          <w:sz w:val="32"/>
          <w:szCs w:val="32"/>
          <w:lang w:val="en-US" w:eastAsia="zh-CN"/>
        </w:rPr>
        <w:t>反馈</w:t>
      </w:r>
    </w:p>
    <w:p>
      <w:pPr>
        <w:jc w:val="center"/>
        <w:rPr>
          <w:rFonts w:ascii="黑体" w:hAnsi="黑体" w:eastAsia="黑体" w:cs="Times New Roman"/>
          <w:sz w:val="32"/>
          <w:szCs w:val="32"/>
        </w:rPr>
      </w:pPr>
    </w:p>
    <w:tbl>
      <w:tblPr>
        <w:tblStyle w:val="5"/>
        <w:tblW w:w="12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95"/>
        <w:gridCol w:w="3390"/>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65" w:type="dxa"/>
            <w:vAlign w:val="center"/>
          </w:tcPr>
          <w:p>
            <w:pPr>
              <w:jc w:val="center"/>
              <w:rPr>
                <w:rFonts w:ascii="仿宋" w:hAnsi="仿宋" w:eastAsia="仿宋" w:cs="Times New Roman"/>
                <w:b/>
                <w:szCs w:val="21"/>
              </w:rPr>
            </w:pPr>
            <w:r>
              <w:rPr>
                <w:rFonts w:hint="eastAsia" w:ascii="仿宋" w:hAnsi="仿宋" w:eastAsia="仿宋" w:cs="Times New Roman"/>
                <w:b/>
                <w:szCs w:val="21"/>
              </w:rPr>
              <w:t>序号</w:t>
            </w:r>
          </w:p>
        </w:tc>
        <w:tc>
          <w:tcPr>
            <w:tcW w:w="1095" w:type="dxa"/>
            <w:vAlign w:val="center"/>
          </w:tcPr>
          <w:p>
            <w:pPr>
              <w:jc w:val="center"/>
              <w:rPr>
                <w:rFonts w:ascii="仿宋" w:hAnsi="仿宋" w:eastAsia="仿宋" w:cs="Times New Roman"/>
                <w:b/>
                <w:szCs w:val="21"/>
              </w:rPr>
            </w:pPr>
            <w:r>
              <w:rPr>
                <w:rFonts w:hint="eastAsia" w:ascii="仿宋" w:hAnsi="仿宋" w:eastAsia="仿宋" w:cs="Times New Roman"/>
                <w:b/>
                <w:szCs w:val="21"/>
                <w:lang w:val="en-US" w:eastAsia="zh-CN"/>
              </w:rPr>
              <w:t>问题</w:t>
            </w:r>
            <w:r>
              <w:rPr>
                <w:rFonts w:hint="eastAsia" w:ascii="仿宋" w:hAnsi="仿宋" w:eastAsia="仿宋" w:cs="Times New Roman"/>
                <w:b/>
                <w:szCs w:val="21"/>
              </w:rPr>
              <w:t>描述</w:t>
            </w:r>
          </w:p>
        </w:tc>
        <w:tc>
          <w:tcPr>
            <w:tcW w:w="3390" w:type="dxa"/>
            <w:vAlign w:val="center"/>
          </w:tcPr>
          <w:p>
            <w:pPr>
              <w:jc w:val="center"/>
              <w:rPr>
                <w:rFonts w:ascii="仿宋" w:hAnsi="仿宋" w:eastAsia="仿宋" w:cs="Times New Roman"/>
                <w:b/>
                <w:szCs w:val="21"/>
              </w:rPr>
            </w:pPr>
            <w:r>
              <w:rPr>
                <w:rFonts w:hint="eastAsia" w:ascii="仿宋" w:hAnsi="仿宋" w:eastAsia="仿宋" w:cs="Times New Roman"/>
                <w:b/>
                <w:szCs w:val="21"/>
              </w:rPr>
              <w:t>整改情况</w:t>
            </w:r>
          </w:p>
        </w:tc>
        <w:tc>
          <w:tcPr>
            <w:tcW w:w="7485" w:type="dxa"/>
            <w:vAlign w:val="center"/>
          </w:tcPr>
          <w:p>
            <w:pPr>
              <w:jc w:val="center"/>
              <w:rPr>
                <w:rFonts w:ascii="仿宋" w:hAnsi="仿宋" w:eastAsia="仿宋" w:cs="Times New Roman"/>
                <w:b/>
                <w:szCs w:val="21"/>
              </w:rPr>
            </w:pPr>
            <w:r>
              <w:rPr>
                <w:rFonts w:hint="eastAsia" w:ascii="仿宋" w:hAnsi="仿宋" w:eastAsia="仿宋" w:cs="Times New Roman"/>
                <w:b/>
                <w:szCs w:val="21"/>
              </w:rPr>
              <w:t>复查图片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4" w:hRule="atLeast"/>
          <w:jc w:val="center"/>
        </w:trPr>
        <w:tc>
          <w:tcPr>
            <w:tcW w:w="665" w:type="dxa"/>
            <w:vAlign w:val="center"/>
          </w:tcPr>
          <w:p>
            <w:pPr>
              <w:jc w:val="center"/>
              <w:rPr>
                <w:rFonts w:ascii="仿宋" w:hAnsi="仿宋" w:eastAsia="仿宋" w:cs="Times New Roman"/>
                <w:szCs w:val="24"/>
              </w:rPr>
            </w:pPr>
            <w:bookmarkStart w:id="0" w:name="_Hlk520818493"/>
            <w:r>
              <w:rPr>
                <w:rFonts w:hint="eastAsia" w:ascii="仿宋" w:hAnsi="仿宋" w:eastAsia="仿宋" w:cs="Times New Roman"/>
                <w:szCs w:val="24"/>
              </w:rPr>
              <w:t>1</w:t>
            </w:r>
          </w:p>
        </w:tc>
        <w:tc>
          <w:tcPr>
            <w:tcW w:w="1095" w:type="dxa"/>
            <w:vAlign w:val="center"/>
          </w:tcPr>
          <w:p>
            <w:pPr>
              <w:jc w:val="both"/>
              <w:rPr>
                <w:rFonts w:hint="default" w:ascii="仿宋" w:hAnsi="仿宋" w:eastAsia="仿宋" w:cs="Times New Roman"/>
                <w:sz w:val="30"/>
                <w:szCs w:val="30"/>
                <w:lang w:val="en-US" w:eastAsia="zh-CN"/>
              </w:rPr>
            </w:pPr>
            <w:r>
              <w:rPr>
                <w:rFonts w:hint="eastAsia" w:ascii="仿宋_GB2312" w:eastAsia="仿宋_GB2312"/>
                <w:sz w:val="26"/>
                <w:lang w:val="en-US" w:eastAsia="zh-CN"/>
              </w:rPr>
              <w:t>现场负责人对危废管理制度不熟悉</w:t>
            </w:r>
          </w:p>
        </w:tc>
        <w:tc>
          <w:tcPr>
            <w:tcW w:w="3390" w:type="dxa"/>
            <w:vAlign w:val="center"/>
          </w:tcPr>
          <w:p>
            <w:pPr>
              <w:rPr>
                <w:rFonts w:hint="default"/>
                <w:lang w:val="en-US" w:eastAsia="zh-CN"/>
              </w:rPr>
            </w:pPr>
            <w:r>
              <w:rPr>
                <w:rFonts w:hint="eastAsia" w:ascii="仿宋_GB2312" w:eastAsia="仿宋_GB2312"/>
                <w:sz w:val="26"/>
                <w:lang w:val="en-US" w:eastAsia="zh-CN"/>
              </w:rPr>
              <w:t>已召集各部门相关负责人及危险废物产生贮存环节的相关管理人员开展危险废物规范化管理专题培训</w:t>
            </w:r>
          </w:p>
        </w:tc>
        <w:tc>
          <w:tcPr>
            <w:tcW w:w="7485" w:type="dxa"/>
            <w:vAlign w:val="center"/>
          </w:tcPr>
          <w:p>
            <w:pPr>
              <w:jc w:val="center"/>
              <w:rPr>
                <w:rFonts w:hint="eastAsia" w:ascii="仿宋" w:hAnsi="仿宋" w:eastAsia="仿宋" w:cs="Times New Roman"/>
                <w:szCs w:val="24"/>
                <w:lang w:eastAsia="zh-CN"/>
              </w:rPr>
            </w:pPr>
            <w:r>
              <w:rPr>
                <w:rFonts w:hint="default" w:ascii="仿宋_GB2312" w:eastAsia="仿宋_GB2312"/>
                <w:sz w:val="26"/>
                <w:lang w:val="en-US" w:eastAsia="zh-CN"/>
              </w:rPr>
              <w:drawing>
                <wp:inline distT="0" distB="0" distL="114300" distR="114300">
                  <wp:extent cx="6095365" cy="3462020"/>
                  <wp:effectExtent l="0" t="0" r="635" b="5080"/>
                  <wp:docPr id="12" name="图片 12" descr="0623ee250936f7a3b0a921763893bde"/>
                  <wp:cNvGraphicFramePr/>
                  <a:graphic xmlns:a="http://schemas.openxmlformats.org/drawingml/2006/main">
                    <a:graphicData uri="http://schemas.openxmlformats.org/drawingml/2006/picture">
                      <pic:pic xmlns:pic="http://schemas.openxmlformats.org/drawingml/2006/picture">
                        <pic:nvPicPr>
                          <pic:cNvPr id="12" name="图片 12" descr="0623ee250936f7a3b0a921763893bde"/>
                          <pic:cNvPicPr/>
                        </pic:nvPicPr>
                        <pic:blipFill>
                          <a:blip r:embed="rId4"/>
                          <a:srcRect l="6379" b="23470"/>
                          <a:stretch>
                            <a:fillRect/>
                          </a:stretch>
                        </pic:blipFill>
                        <pic:spPr>
                          <a:xfrm>
                            <a:off x="0" y="0"/>
                            <a:ext cx="6095365" cy="34620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665" w:type="dxa"/>
            <w:vAlign w:val="center"/>
          </w:tcPr>
          <w:p>
            <w:pPr>
              <w:jc w:val="center"/>
              <w:rPr>
                <w:rFonts w:ascii="仿宋" w:hAnsi="仿宋" w:eastAsia="仿宋" w:cs="Times New Roman"/>
                <w:szCs w:val="24"/>
              </w:rPr>
            </w:pPr>
            <w:r>
              <w:rPr>
                <w:rFonts w:hint="eastAsia" w:ascii="仿宋" w:hAnsi="仿宋" w:eastAsia="仿宋" w:cs="Times New Roman"/>
                <w:szCs w:val="24"/>
              </w:rPr>
              <w:t>2</w:t>
            </w:r>
          </w:p>
        </w:tc>
        <w:tc>
          <w:tcPr>
            <w:tcW w:w="1095" w:type="dxa"/>
            <w:vAlign w:val="center"/>
          </w:tcPr>
          <w:p>
            <w:pPr>
              <w:jc w:val="both"/>
              <w:rPr>
                <w:rFonts w:hint="default" w:ascii="仿宋" w:hAnsi="仿宋" w:eastAsia="仿宋" w:cs="Times New Roman"/>
                <w:sz w:val="30"/>
                <w:szCs w:val="30"/>
                <w:lang w:val="en-US" w:eastAsia="zh-CN"/>
              </w:rPr>
            </w:pPr>
            <w:r>
              <w:rPr>
                <w:rFonts w:hint="eastAsia" w:ascii="仿宋_GB2312" w:eastAsia="仿宋_GB2312"/>
                <w:sz w:val="26"/>
                <w:lang w:val="en-US" w:eastAsia="zh-CN"/>
              </w:rPr>
              <w:t>危废贮存仓库标识面积存在错误</w:t>
            </w:r>
          </w:p>
        </w:tc>
        <w:tc>
          <w:tcPr>
            <w:tcW w:w="3390" w:type="dxa"/>
            <w:vAlign w:val="center"/>
          </w:tcPr>
          <w:p>
            <w:pPr>
              <w:jc w:val="left"/>
              <w:rPr>
                <w:rFonts w:hint="default"/>
                <w:sz w:val="28"/>
                <w:szCs w:val="36"/>
                <w:lang w:val="en-US" w:eastAsia="zh-CN"/>
              </w:rPr>
            </w:pPr>
            <w:r>
              <w:rPr>
                <w:rFonts w:hint="eastAsia" w:ascii="仿宋_GB2312" w:eastAsia="仿宋_GB2312"/>
                <w:sz w:val="26"/>
                <w:lang w:val="en-US" w:eastAsia="zh-CN"/>
              </w:rPr>
              <w:t>危废仓库标识面积已更正</w:t>
            </w:r>
          </w:p>
          <w:p>
            <w:pPr>
              <w:jc w:val="both"/>
              <w:rPr>
                <w:rFonts w:hint="default" w:ascii="仿宋" w:hAnsi="仿宋" w:eastAsia="仿宋" w:cs="Times New Roman"/>
                <w:sz w:val="30"/>
                <w:szCs w:val="30"/>
                <w:lang w:val="en-US" w:eastAsia="zh-CN"/>
              </w:rPr>
            </w:pPr>
          </w:p>
        </w:tc>
        <w:tc>
          <w:tcPr>
            <w:tcW w:w="7485" w:type="dxa"/>
            <w:vAlign w:val="center"/>
          </w:tcPr>
          <w:p>
            <w:pPr>
              <w:jc w:val="center"/>
              <w:rPr>
                <w:rFonts w:hint="eastAsia" w:ascii="仿宋" w:hAnsi="仿宋" w:eastAsia="仿宋" w:cs="Times New Roman"/>
                <w:szCs w:val="24"/>
                <w:lang w:eastAsia="zh-CN"/>
              </w:rPr>
            </w:pPr>
            <w:r>
              <w:rPr>
                <w:rFonts w:hint="eastAsia" w:ascii="仿宋_GB2312" w:eastAsia="仿宋_GB2312"/>
                <w:b/>
                <w:bCs/>
                <w:sz w:val="26"/>
                <w:vertAlign w:val="baseline"/>
                <w:lang w:val="en-US" w:eastAsia="zh-CN"/>
              </w:rPr>
              <w:drawing>
                <wp:inline distT="0" distB="0" distL="114300" distR="114300">
                  <wp:extent cx="4243070" cy="3987800"/>
                  <wp:effectExtent l="0" t="0" r="5080" b="0"/>
                  <wp:docPr id="2" name="图片 2" descr="2cf2112e7abe96e0e83b9727b1a7a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cf2112e7abe96e0e83b9727b1a7adc"/>
                          <pic:cNvPicPr>
                            <a:picLocks noChangeAspect="1"/>
                          </pic:cNvPicPr>
                        </pic:nvPicPr>
                        <pic:blipFill>
                          <a:blip r:embed="rId5"/>
                          <a:srcRect l="-673" t="19540" r="673" b="-5559"/>
                          <a:stretch>
                            <a:fillRect/>
                          </a:stretch>
                        </pic:blipFill>
                        <pic:spPr>
                          <a:xfrm>
                            <a:off x="0" y="0"/>
                            <a:ext cx="4243070" cy="39878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2" w:hRule="atLeast"/>
          <w:jc w:val="center"/>
        </w:trPr>
        <w:tc>
          <w:tcPr>
            <w:tcW w:w="665" w:type="dxa"/>
            <w:vAlign w:val="center"/>
          </w:tcPr>
          <w:p>
            <w:pPr>
              <w:jc w:val="center"/>
              <w:rPr>
                <w:rFonts w:hint="default" w:ascii="仿宋" w:hAnsi="仿宋" w:eastAsia="仿宋" w:cs="Times New Roman"/>
                <w:szCs w:val="24"/>
                <w:lang w:val="en-US" w:eastAsia="zh-CN"/>
              </w:rPr>
            </w:pPr>
            <w:r>
              <w:rPr>
                <w:rFonts w:hint="eastAsia" w:ascii="仿宋" w:hAnsi="仿宋" w:eastAsia="仿宋" w:cs="Times New Roman"/>
                <w:szCs w:val="24"/>
                <w:lang w:val="en-US" w:eastAsia="zh-CN"/>
              </w:rPr>
              <w:t>3</w:t>
            </w:r>
          </w:p>
        </w:tc>
        <w:tc>
          <w:tcPr>
            <w:tcW w:w="1095" w:type="dxa"/>
            <w:vAlign w:val="center"/>
          </w:tcPr>
          <w:p>
            <w:pPr>
              <w:jc w:val="both"/>
              <w:rPr>
                <w:rFonts w:hint="default" w:ascii="仿宋" w:hAnsi="仿宋" w:eastAsia="仿宋" w:cs="Times New Roman"/>
                <w:sz w:val="30"/>
                <w:szCs w:val="30"/>
                <w:lang w:val="en-US" w:eastAsia="zh-CN"/>
              </w:rPr>
            </w:pPr>
            <w:r>
              <w:rPr>
                <w:rFonts w:hint="eastAsia" w:ascii="仿宋_GB2312" w:eastAsia="仿宋_GB2312"/>
                <w:sz w:val="26"/>
                <w:lang w:val="en-US" w:eastAsia="zh-CN"/>
              </w:rPr>
              <w:t>危废台账记录不实，以出库转移量代替产生入库量。</w:t>
            </w:r>
          </w:p>
        </w:tc>
        <w:tc>
          <w:tcPr>
            <w:tcW w:w="3390" w:type="dxa"/>
            <w:vAlign w:val="center"/>
          </w:tcPr>
          <w:p>
            <w:pPr>
              <w:jc w:val="both"/>
              <w:rPr>
                <w:rFonts w:hint="default" w:ascii="仿宋" w:hAnsi="仿宋" w:eastAsia="仿宋" w:cs="Times New Roman"/>
                <w:sz w:val="30"/>
                <w:szCs w:val="30"/>
                <w:lang w:val="en-US" w:eastAsia="zh-CN"/>
              </w:rPr>
            </w:pPr>
            <w:r>
              <w:rPr>
                <w:rFonts w:hint="eastAsia" w:ascii="仿宋_GB2312" w:eastAsia="仿宋_GB2312"/>
                <w:sz w:val="26"/>
                <w:lang w:val="en-US" w:eastAsia="zh-CN"/>
              </w:rPr>
              <w:t>已按规范要求如实记录危废台账</w:t>
            </w:r>
          </w:p>
        </w:tc>
        <w:tc>
          <w:tcPr>
            <w:tcW w:w="7485" w:type="dxa"/>
            <w:vAlign w:val="center"/>
          </w:tcPr>
          <w:p>
            <w:pPr>
              <w:jc w:val="both"/>
              <w:rPr>
                <w:rFonts w:hint="eastAsia" w:ascii="仿宋" w:hAnsi="仿宋" w:eastAsia="仿宋" w:cs="Times New Roman"/>
                <w:szCs w:val="24"/>
                <w:lang w:eastAsia="zh-CN"/>
              </w:rPr>
            </w:pPr>
            <w:r>
              <w:drawing>
                <wp:inline distT="0" distB="0" distL="114300" distR="114300">
                  <wp:extent cx="4504055" cy="3472815"/>
                  <wp:effectExtent l="0" t="0" r="1079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504055" cy="347281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4" w:hRule="atLeast"/>
          <w:jc w:val="center"/>
        </w:trPr>
        <w:tc>
          <w:tcPr>
            <w:tcW w:w="665" w:type="dxa"/>
            <w:vAlign w:val="center"/>
          </w:tcPr>
          <w:p>
            <w:pPr>
              <w:jc w:val="center"/>
              <w:rPr>
                <w:rFonts w:hint="default" w:ascii="仿宋" w:hAnsi="仿宋" w:eastAsia="仿宋" w:cs="Times New Roman"/>
                <w:szCs w:val="24"/>
                <w:lang w:val="en-US" w:eastAsia="zh-CN"/>
              </w:rPr>
            </w:pPr>
            <w:r>
              <w:rPr>
                <w:rFonts w:hint="eastAsia" w:ascii="仿宋" w:hAnsi="仿宋" w:eastAsia="仿宋" w:cs="Times New Roman"/>
                <w:szCs w:val="24"/>
                <w:lang w:val="en-US" w:eastAsia="zh-CN"/>
              </w:rPr>
              <w:t>4</w:t>
            </w:r>
          </w:p>
        </w:tc>
        <w:tc>
          <w:tcPr>
            <w:tcW w:w="1095" w:type="dxa"/>
            <w:vAlign w:val="center"/>
          </w:tcPr>
          <w:p>
            <w:pPr>
              <w:jc w:val="both"/>
              <w:rPr>
                <w:rFonts w:hint="default" w:ascii="仿宋" w:hAnsi="仿宋" w:eastAsia="仿宋" w:cs="Times New Roman"/>
                <w:sz w:val="30"/>
                <w:szCs w:val="30"/>
                <w:lang w:val="en-US" w:eastAsia="zh-CN"/>
              </w:rPr>
            </w:pPr>
            <w:r>
              <w:rPr>
                <w:rFonts w:hint="eastAsia" w:ascii="仿宋_GB2312" w:eastAsia="仿宋_GB2312"/>
                <w:sz w:val="26"/>
                <w:lang w:val="en-US" w:eastAsia="zh-CN"/>
              </w:rPr>
              <w:t>未如实申报危险废物产生贮存情况，以转移处置量代替产生贮存量</w:t>
            </w:r>
          </w:p>
        </w:tc>
        <w:tc>
          <w:tcPr>
            <w:tcW w:w="3390" w:type="dxa"/>
            <w:vAlign w:val="center"/>
          </w:tcPr>
          <w:p>
            <w:pPr>
              <w:jc w:val="left"/>
              <w:rPr>
                <w:rFonts w:hint="eastAsia" w:ascii="仿宋_GB2312" w:eastAsia="仿宋_GB2312"/>
                <w:sz w:val="26"/>
                <w:lang w:val="en-US" w:eastAsia="zh-CN"/>
              </w:rPr>
            </w:pPr>
            <w:r>
              <w:rPr>
                <w:rFonts w:hint="eastAsia" w:ascii="仿宋_GB2312" w:eastAsia="仿宋_GB2312"/>
                <w:sz w:val="26"/>
                <w:lang w:val="en-US" w:eastAsia="zh-CN"/>
              </w:rPr>
              <w:t>已如实申报危险废物产生、贮存、转移情况</w:t>
            </w:r>
          </w:p>
          <w:p>
            <w:pPr>
              <w:jc w:val="both"/>
              <w:rPr>
                <w:rFonts w:hint="eastAsia" w:ascii="仿宋" w:hAnsi="仿宋" w:eastAsia="仿宋" w:cs="Times New Roman"/>
                <w:sz w:val="30"/>
                <w:szCs w:val="30"/>
                <w:lang w:val="en-US" w:eastAsia="zh-CN"/>
              </w:rPr>
            </w:pPr>
          </w:p>
        </w:tc>
        <w:tc>
          <w:tcPr>
            <w:tcW w:w="7485" w:type="dxa"/>
            <w:vAlign w:val="center"/>
          </w:tcPr>
          <w:p>
            <w:pPr>
              <w:jc w:val="both"/>
              <w:rPr>
                <w:rFonts w:hint="eastAsia" w:ascii="仿宋" w:hAnsi="仿宋" w:eastAsia="仿宋" w:cs="Times New Roman"/>
                <w:szCs w:val="24"/>
                <w:lang w:eastAsia="zh-CN"/>
              </w:rPr>
            </w:pPr>
            <w:r>
              <w:rPr>
                <w:rFonts w:hint="eastAsia" w:ascii="仿宋_GB2312" w:eastAsia="仿宋_GB2312"/>
                <w:b/>
                <w:bCs/>
                <w:sz w:val="26"/>
                <w:vertAlign w:val="baseline"/>
                <w:lang w:val="en-US" w:eastAsia="zh-CN"/>
              </w:rPr>
              <w:drawing>
                <wp:inline distT="0" distB="0" distL="114300" distR="114300">
                  <wp:extent cx="4644390" cy="3642995"/>
                  <wp:effectExtent l="0" t="0" r="3810" b="14605"/>
                  <wp:docPr id="14" name="图片 14" descr="0eb7afb05c9d66c0496108cdf2af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0eb7afb05c9d66c0496108cdf2afe7d"/>
                          <pic:cNvPicPr>
                            <a:picLocks noChangeAspect="1"/>
                          </pic:cNvPicPr>
                        </pic:nvPicPr>
                        <pic:blipFill>
                          <a:blip r:embed="rId7"/>
                          <a:srcRect r="1545" b="16577"/>
                          <a:stretch>
                            <a:fillRect/>
                          </a:stretch>
                        </pic:blipFill>
                        <pic:spPr>
                          <a:xfrm>
                            <a:off x="0" y="0"/>
                            <a:ext cx="4644390" cy="3642995"/>
                          </a:xfrm>
                          <a:prstGeom prst="rect">
                            <a:avLst/>
                          </a:prstGeom>
                        </pic:spPr>
                      </pic:pic>
                    </a:graphicData>
                  </a:graphic>
                </wp:inline>
              </w:drawing>
            </w:r>
          </w:p>
        </w:tc>
      </w:tr>
      <w:bookmarkEnd w:id="0"/>
    </w:tbl>
    <w:p>
      <w:pPr>
        <w:rPr>
          <w:rFonts w:hint="eastAsia"/>
        </w:rPr>
      </w:pPr>
    </w:p>
    <w:p>
      <w:pPr>
        <w:rPr>
          <w:rFonts w:hint="eastAsia"/>
        </w:rPr>
      </w:pPr>
    </w:p>
    <w:p>
      <w:pPr>
        <w:rPr>
          <w:rFonts w:hint="eastAsia"/>
        </w:rPr>
      </w:pPr>
    </w:p>
    <w:tbl>
      <w:tblPr>
        <w:tblStyle w:val="5"/>
        <w:tblW w:w="12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095"/>
        <w:gridCol w:w="3390"/>
        <w:gridCol w:w="7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4" w:hRule="atLeast"/>
          <w:jc w:val="center"/>
        </w:trPr>
        <w:tc>
          <w:tcPr>
            <w:tcW w:w="665" w:type="dxa"/>
            <w:vAlign w:val="center"/>
          </w:tcPr>
          <w:p>
            <w:pPr>
              <w:jc w:val="center"/>
              <w:rPr>
                <w:rFonts w:hint="default" w:ascii="仿宋" w:hAnsi="仿宋" w:eastAsia="仿宋" w:cs="Times New Roman"/>
                <w:szCs w:val="24"/>
                <w:lang w:val="en-US" w:eastAsia="zh-CN"/>
              </w:rPr>
            </w:pPr>
            <w:r>
              <w:rPr>
                <w:rFonts w:hint="eastAsia" w:ascii="仿宋" w:hAnsi="仿宋" w:eastAsia="仿宋" w:cs="Times New Roman"/>
                <w:szCs w:val="24"/>
                <w:lang w:val="en-US" w:eastAsia="zh-CN"/>
              </w:rPr>
              <w:t>5</w:t>
            </w:r>
          </w:p>
        </w:tc>
        <w:tc>
          <w:tcPr>
            <w:tcW w:w="1095" w:type="dxa"/>
            <w:vAlign w:val="center"/>
          </w:tcPr>
          <w:p>
            <w:pPr>
              <w:jc w:val="both"/>
              <w:rPr>
                <w:rFonts w:hint="default" w:ascii="仿宋" w:hAnsi="仿宋" w:eastAsia="仿宋" w:cs="Times New Roman"/>
                <w:sz w:val="30"/>
                <w:szCs w:val="30"/>
                <w:lang w:val="en-US" w:eastAsia="zh-CN"/>
              </w:rPr>
            </w:pPr>
            <w:r>
              <w:rPr>
                <w:rFonts w:hint="eastAsia" w:ascii="仿宋_GB2312" w:eastAsia="仿宋_GB2312"/>
                <w:sz w:val="26"/>
                <w:lang w:val="en-US" w:eastAsia="zh-CN"/>
              </w:rPr>
              <w:t>危废未贮存于危废仓库，存放于车间，不符合贮存要求</w:t>
            </w:r>
          </w:p>
        </w:tc>
        <w:tc>
          <w:tcPr>
            <w:tcW w:w="3390" w:type="dxa"/>
            <w:vAlign w:val="center"/>
          </w:tcPr>
          <w:p>
            <w:pPr>
              <w:jc w:val="both"/>
              <w:rPr>
                <w:rFonts w:hint="eastAsia" w:ascii="仿宋" w:hAnsi="仿宋" w:eastAsia="仿宋" w:cs="Times New Roman"/>
                <w:sz w:val="30"/>
                <w:szCs w:val="30"/>
                <w:lang w:val="en-US" w:eastAsia="zh-CN"/>
              </w:rPr>
            </w:pPr>
            <w:r>
              <w:rPr>
                <w:rFonts w:hint="eastAsia" w:ascii="仿宋_GB2312" w:eastAsia="仿宋_GB2312"/>
                <w:sz w:val="26"/>
                <w:lang w:val="en-US" w:eastAsia="zh-CN"/>
              </w:rPr>
              <w:t>产生的危险废物已按规范要求贮存于危废仓库</w:t>
            </w:r>
          </w:p>
        </w:tc>
        <w:tc>
          <w:tcPr>
            <w:tcW w:w="7485" w:type="dxa"/>
            <w:vAlign w:val="center"/>
          </w:tcPr>
          <w:p>
            <w:pPr>
              <w:jc w:val="both"/>
              <w:rPr>
                <w:rFonts w:hint="eastAsia" w:ascii="仿宋" w:hAnsi="仿宋" w:eastAsia="仿宋" w:cs="Times New Roman"/>
                <w:szCs w:val="24"/>
                <w:lang w:eastAsia="zh-CN"/>
              </w:rPr>
            </w:pPr>
            <w:r>
              <w:rPr>
                <w:rFonts w:hint="default" w:ascii="等线" w:hAnsi="等线" w:eastAsia="等线" w:cs="等线"/>
                <w:b w:val="0"/>
                <w:bCs w:val="0"/>
                <w:sz w:val="26"/>
                <w:highlight w:val="none"/>
                <w:vertAlign w:val="baseline"/>
                <w:lang w:val="en-US" w:eastAsia="zh-CN"/>
              </w:rPr>
              <w:drawing>
                <wp:inline distT="0" distB="0" distL="114300" distR="114300">
                  <wp:extent cx="4354830" cy="3429635"/>
                  <wp:effectExtent l="0" t="0" r="7620" b="18415"/>
                  <wp:docPr id="34" name="图片 34" descr="52cd99e428f138dd3adcebdf8b347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52cd99e428f138dd3adcebdf8b347e8"/>
                          <pic:cNvPicPr>
                            <a:picLocks noChangeAspect="1"/>
                          </pic:cNvPicPr>
                        </pic:nvPicPr>
                        <pic:blipFill>
                          <a:blip r:embed="rId8"/>
                          <a:stretch>
                            <a:fillRect/>
                          </a:stretch>
                        </pic:blipFill>
                        <pic:spPr>
                          <a:xfrm>
                            <a:off x="0" y="0"/>
                            <a:ext cx="4354830" cy="34296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4" w:hRule="atLeast"/>
          <w:jc w:val="center"/>
        </w:trPr>
        <w:tc>
          <w:tcPr>
            <w:tcW w:w="665" w:type="dxa"/>
            <w:vAlign w:val="center"/>
          </w:tcPr>
          <w:p>
            <w:pPr>
              <w:jc w:val="center"/>
              <w:rPr>
                <w:rFonts w:hint="default" w:ascii="仿宋" w:hAnsi="仿宋" w:eastAsia="仿宋" w:cs="Times New Roman"/>
                <w:szCs w:val="24"/>
                <w:lang w:val="en-US" w:eastAsia="zh-CN"/>
              </w:rPr>
            </w:pPr>
            <w:r>
              <w:rPr>
                <w:rFonts w:hint="eastAsia" w:ascii="仿宋" w:hAnsi="仿宋" w:eastAsia="仿宋" w:cs="Times New Roman"/>
                <w:szCs w:val="24"/>
                <w:lang w:val="en-US" w:eastAsia="zh-CN"/>
              </w:rPr>
              <w:t>6</w:t>
            </w:r>
          </w:p>
        </w:tc>
        <w:tc>
          <w:tcPr>
            <w:tcW w:w="1095" w:type="dxa"/>
            <w:vAlign w:val="center"/>
          </w:tcPr>
          <w:p>
            <w:pPr>
              <w:jc w:val="both"/>
              <w:rPr>
                <w:rFonts w:hint="default" w:ascii="仿宋" w:hAnsi="仿宋" w:eastAsia="仿宋" w:cs="Times New Roman"/>
                <w:sz w:val="30"/>
                <w:szCs w:val="30"/>
                <w:lang w:val="en-US" w:eastAsia="zh-CN"/>
              </w:rPr>
            </w:pPr>
            <w:r>
              <w:rPr>
                <w:rFonts w:hint="eastAsia" w:ascii="仿宋_GB2312" w:eastAsia="仿宋_GB2312"/>
                <w:sz w:val="26"/>
                <w:lang w:val="en-US" w:eastAsia="zh-CN"/>
              </w:rPr>
              <w:t>危废包装不完整，运输出厂后包装</w:t>
            </w:r>
          </w:p>
        </w:tc>
        <w:tc>
          <w:tcPr>
            <w:tcW w:w="3390" w:type="dxa"/>
            <w:vAlign w:val="center"/>
          </w:tcPr>
          <w:p>
            <w:pPr>
              <w:jc w:val="both"/>
              <w:rPr>
                <w:rFonts w:hint="eastAsia" w:ascii="仿宋" w:hAnsi="仿宋" w:eastAsia="仿宋" w:cs="Times New Roman"/>
                <w:sz w:val="30"/>
                <w:szCs w:val="30"/>
                <w:lang w:val="en-US" w:eastAsia="zh-CN"/>
              </w:rPr>
            </w:pPr>
            <w:r>
              <w:rPr>
                <w:rFonts w:hint="eastAsia" w:ascii="仿宋_GB2312" w:eastAsia="仿宋_GB2312"/>
                <w:sz w:val="26"/>
                <w:lang w:val="en-US" w:eastAsia="zh-CN"/>
              </w:rPr>
              <w:t>已对入库危废进行完整包装，规范将编制袋口进行覆盖捆扎，做好防扬散措施</w:t>
            </w:r>
          </w:p>
        </w:tc>
        <w:tc>
          <w:tcPr>
            <w:tcW w:w="7485" w:type="dxa"/>
            <w:vAlign w:val="center"/>
          </w:tcPr>
          <w:p>
            <w:pPr>
              <w:jc w:val="both"/>
              <w:rPr>
                <w:rFonts w:hint="eastAsia" w:ascii="仿宋" w:hAnsi="仿宋" w:eastAsia="仿宋" w:cs="Times New Roman"/>
                <w:szCs w:val="24"/>
                <w:lang w:eastAsia="zh-CN"/>
              </w:rPr>
            </w:pPr>
            <w:r>
              <w:rPr>
                <w:rFonts w:hint="eastAsia" w:ascii="仿宋_GB2312" w:eastAsia="仿宋_GB2312"/>
                <w:b/>
                <w:bCs/>
                <w:sz w:val="26"/>
                <w:vertAlign w:val="baseline"/>
                <w:lang w:val="en-US" w:eastAsia="zh-CN"/>
              </w:rPr>
              <w:drawing>
                <wp:inline distT="0" distB="0" distL="114300" distR="114300">
                  <wp:extent cx="4159885" cy="3863975"/>
                  <wp:effectExtent l="0" t="0" r="12065" b="0"/>
                  <wp:docPr id="10" name="图片 10" descr="7cb16902186062cfdfaa5c31566f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cb16902186062cfdfaa5c31566fed0"/>
                          <pic:cNvPicPr>
                            <a:picLocks noChangeAspect="1"/>
                          </pic:cNvPicPr>
                        </pic:nvPicPr>
                        <pic:blipFill>
                          <a:blip r:embed="rId9"/>
                          <a:srcRect l="-687" t="8240" r="687" b="-8240"/>
                          <a:stretch>
                            <a:fillRect/>
                          </a:stretch>
                        </pic:blipFill>
                        <pic:spPr>
                          <a:xfrm>
                            <a:off x="0" y="0"/>
                            <a:ext cx="4159885" cy="386397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4" w:hRule="atLeast"/>
          <w:jc w:val="center"/>
        </w:trPr>
        <w:tc>
          <w:tcPr>
            <w:tcW w:w="665" w:type="dxa"/>
            <w:vAlign w:val="center"/>
          </w:tcPr>
          <w:p>
            <w:pPr>
              <w:jc w:val="center"/>
              <w:rPr>
                <w:rFonts w:hint="default" w:ascii="仿宋" w:hAnsi="仿宋" w:eastAsia="仿宋" w:cs="Times New Roman"/>
                <w:szCs w:val="24"/>
                <w:lang w:val="en-US" w:eastAsia="zh-CN"/>
              </w:rPr>
            </w:pPr>
            <w:r>
              <w:rPr>
                <w:rFonts w:hint="eastAsia" w:ascii="仿宋" w:hAnsi="仿宋" w:eastAsia="仿宋" w:cs="Times New Roman"/>
                <w:szCs w:val="24"/>
                <w:lang w:val="en-US" w:eastAsia="zh-CN"/>
              </w:rPr>
              <w:t>7</w:t>
            </w:r>
          </w:p>
        </w:tc>
        <w:tc>
          <w:tcPr>
            <w:tcW w:w="1095" w:type="dxa"/>
            <w:vAlign w:val="center"/>
          </w:tcPr>
          <w:p>
            <w:pPr>
              <w:jc w:val="both"/>
              <w:rPr>
                <w:rFonts w:hint="default" w:ascii="仿宋" w:hAnsi="仿宋" w:eastAsia="仿宋" w:cs="Times New Roman"/>
                <w:sz w:val="30"/>
                <w:szCs w:val="30"/>
                <w:lang w:val="en-US" w:eastAsia="zh-CN"/>
              </w:rPr>
            </w:pPr>
            <w:r>
              <w:rPr>
                <w:rFonts w:hint="eastAsia" w:ascii="仿宋_GB2312" w:eastAsia="仿宋_GB2312"/>
                <w:sz w:val="26"/>
                <w:lang w:val="en-US" w:eastAsia="zh-CN"/>
              </w:rPr>
              <w:t>未按要求设置视频监控，贮存仓库出入口无监控</w:t>
            </w:r>
          </w:p>
        </w:tc>
        <w:tc>
          <w:tcPr>
            <w:tcW w:w="3390" w:type="dxa"/>
            <w:vAlign w:val="center"/>
          </w:tcPr>
          <w:p>
            <w:pPr>
              <w:jc w:val="both"/>
              <w:rPr>
                <w:rFonts w:hint="eastAsia" w:ascii="仿宋" w:hAnsi="仿宋" w:eastAsia="仿宋" w:cs="Times New Roman"/>
                <w:sz w:val="30"/>
                <w:szCs w:val="30"/>
                <w:lang w:val="en-US" w:eastAsia="zh-CN"/>
              </w:rPr>
            </w:pPr>
            <w:r>
              <w:rPr>
                <w:rFonts w:hint="eastAsia" w:ascii="仿宋_GB2312" w:eastAsia="仿宋_GB2312"/>
                <w:sz w:val="26"/>
                <w:lang w:val="en-US" w:eastAsia="zh-CN"/>
              </w:rPr>
              <w:t>危废仓库对面增设视频监控，对出入口进行监控，确保其监控保存时间不少于30天</w:t>
            </w:r>
            <w:bookmarkStart w:id="1" w:name="_GoBack"/>
            <w:bookmarkEnd w:id="1"/>
          </w:p>
        </w:tc>
        <w:tc>
          <w:tcPr>
            <w:tcW w:w="7485" w:type="dxa"/>
            <w:vAlign w:val="center"/>
          </w:tcPr>
          <w:p>
            <w:pPr>
              <w:jc w:val="both"/>
              <w:rPr>
                <w:rFonts w:hint="eastAsia" w:ascii="仿宋" w:hAnsi="仿宋" w:eastAsia="仿宋" w:cs="Times New Roman"/>
                <w:szCs w:val="24"/>
                <w:lang w:eastAsia="zh-CN"/>
              </w:rPr>
            </w:pPr>
            <w:r>
              <w:rPr>
                <w:rFonts w:hint="default" w:ascii="仿宋_GB2312" w:eastAsia="仿宋_GB2312"/>
                <w:sz w:val="26"/>
                <w:lang w:val="en-US" w:eastAsia="zh-CN"/>
              </w:rPr>
              <w:drawing>
                <wp:inline distT="0" distB="0" distL="114300" distR="114300">
                  <wp:extent cx="4686300" cy="3597910"/>
                  <wp:effectExtent l="0" t="0" r="0" b="2540"/>
                  <wp:docPr id="7" name="图片 7" descr="037d680804b0921721672b128fd1b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37d680804b0921721672b128fd1b34"/>
                          <pic:cNvPicPr>
                            <a:picLocks noChangeAspect="1"/>
                          </pic:cNvPicPr>
                        </pic:nvPicPr>
                        <pic:blipFill>
                          <a:blip r:embed="rId10"/>
                          <a:stretch>
                            <a:fillRect/>
                          </a:stretch>
                        </pic:blipFill>
                        <pic:spPr>
                          <a:xfrm>
                            <a:off x="0" y="0"/>
                            <a:ext cx="4686300" cy="3597910"/>
                          </a:xfrm>
                          <a:prstGeom prst="rect">
                            <a:avLst/>
                          </a:prstGeom>
                        </pic:spPr>
                      </pic:pic>
                    </a:graphicData>
                  </a:graphic>
                </wp:inline>
              </w:drawing>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60101010101"/>
    <w:charset w:val="86"/>
    <w:family w:val="roma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xNzVlN2RkNWNiNjc3MWYxODJhZTc1NjAzNTkwYWQifQ=="/>
  </w:docVars>
  <w:rsids>
    <w:rsidRoot w:val="007F3530"/>
    <w:rsid w:val="00074137"/>
    <w:rsid w:val="001C38AB"/>
    <w:rsid w:val="0020098F"/>
    <w:rsid w:val="00292EF7"/>
    <w:rsid w:val="00381775"/>
    <w:rsid w:val="003A64CE"/>
    <w:rsid w:val="0049160E"/>
    <w:rsid w:val="007F3530"/>
    <w:rsid w:val="008B2327"/>
    <w:rsid w:val="00AA16FF"/>
    <w:rsid w:val="00BD105B"/>
    <w:rsid w:val="00D07EE5"/>
    <w:rsid w:val="00F014EE"/>
    <w:rsid w:val="00F36FA7"/>
    <w:rsid w:val="00FE21DB"/>
    <w:rsid w:val="049C4F1D"/>
    <w:rsid w:val="08980FA6"/>
    <w:rsid w:val="0A164552"/>
    <w:rsid w:val="0AF955F5"/>
    <w:rsid w:val="0BFF2574"/>
    <w:rsid w:val="11E125AD"/>
    <w:rsid w:val="1A8A0617"/>
    <w:rsid w:val="1BB84435"/>
    <w:rsid w:val="20872B6B"/>
    <w:rsid w:val="23E7270E"/>
    <w:rsid w:val="29C90EBB"/>
    <w:rsid w:val="2AE17B91"/>
    <w:rsid w:val="31685DEB"/>
    <w:rsid w:val="334C7DC1"/>
    <w:rsid w:val="360F4FBD"/>
    <w:rsid w:val="3BA34FDD"/>
    <w:rsid w:val="3F64078E"/>
    <w:rsid w:val="4604739D"/>
    <w:rsid w:val="48530427"/>
    <w:rsid w:val="4946582B"/>
    <w:rsid w:val="49FE3A64"/>
    <w:rsid w:val="4B986A12"/>
    <w:rsid w:val="526004C8"/>
    <w:rsid w:val="5C6F5818"/>
    <w:rsid w:val="5FF732AC"/>
    <w:rsid w:val="654958D6"/>
    <w:rsid w:val="6EDE51C0"/>
    <w:rsid w:val="73047AE4"/>
    <w:rsid w:val="73DD49A4"/>
    <w:rsid w:val="75632CA9"/>
    <w:rsid w:val="797C5B5D"/>
    <w:rsid w:val="7E3A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511</Words>
  <Characters>511</Characters>
  <Lines>1</Lines>
  <Paragraphs>1</Paragraphs>
  <TotalTime>6</TotalTime>
  <ScaleCrop>false</ScaleCrop>
  <LinksUpToDate>false</LinksUpToDate>
  <CharactersWithSpaces>511</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2018-07-31T07:57:00Z</dcterms:created>
  <dc:creator>huafonPC</dc:creator>
  <cp:lastModifiedBy>admin</cp:lastModifiedBy>
  <dcterms:modified xsi:type="dcterms:W3CDTF">2023-06-16T02:03:43Z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3A4A3D57084E4AB29425229A2C341C2E_13</vt:lpwstr>
  </property>
</Properties>
</file>