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sz w:val="32"/>
          <w:szCs w:val="32"/>
          <w:shd w:val="clear" w:color="auto" w:fill="FFFFFF"/>
        </w:rPr>
        <w:t>南通市启东生态环境监测站规范化能力建设（第三期扩充监测设备）项目市场询价公告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南通市启东生态环境监测站规范化能力建设（第三期扩充监测设备）项目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南通市启东生态环境监测站规范化能力建设（第三期扩充监测设备）项目进行市场询价调研。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shd w:val="clear" w:color="auto" w:fill="FFFFFF"/>
        </w:rPr>
        <w:t>一、采购清单</w:t>
      </w:r>
    </w:p>
    <w:tbl>
      <w:tblPr>
        <w:tblStyle w:val="20"/>
        <w:tblpPr w:leftFromText="180" w:rightFromText="180" w:vertAnchor="page" w:horzAnchor="page" w:tblpX="2081" w:tblpY="4706"/>
        <w:tblOverlap w:val="never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96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方正仿宋_GBK" w:cs="Times New Roman"/>
                <w:sz w:val="24"/>
                <w:szCs w:val="24"/>
              </w:rPr>
              <w:t>便携式气相分子吸收光谱仪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方正仿宋_GBK" w:cs="Times New Roman"/>
                <w:sz w:val="24"/>
                <w:szCs w:val="24"/>
              </w:rPr>
              <w:t>便携水质自动分析仪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方正仿宋_GBK" w:cs="Times New Roman"/>
                <w:sz w:val="24"/>
                <w:szCs w:val="24"/>
              </w:rPr>
              <w:t>便携式重金属测定仪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spacing w:line="360" w:lineRule="auto"/>
              <w:ind w:firstLine="560"/>
              <w:jc w:val="both"/>
              <w:rPr>
                <w:rFonts w:ascii="Times New Roman" w:hAnsi="Times New Roman"/>
                <w:color w:val="FF0000"/>
                <w:kern w:val="2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FF0000"/>
                <w:kern w:val="2"/>
                <w:szCs w:val="24"/>
                <w:shd w:val="clear" w:color="auto" w:fill="FFFFFF"/>
              </w:rPr>
              <w:t>电感耦合等离子体质谱仪ICP-MS(可车载)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（核心产品）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方正仿宋_GBK" w:cs="Times New Roman"/>
                <w:sz w:val="24"/>
                <w:szCs w:val="24"/>
              </w:rPr>
              <w:t>生物毒性检测仪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</w:tr>
    </w:tbl>
    <w:p>
      <w:pPr>
        <w:pStyle w:val="18"/>
        <w:widowControl/>
        <w:spacing w:line="360" w:lineRule="auto"/>
        <w:ind w:firstLine="482" w:firstLineChars="200"/>
        <w:jc w:val="both"/>
        <w:rPr>
          <w:rFonts w:ascii="Times New Roman" w:hAnsi="Times New Roman"/>
          <w:b/>
          <w:bCs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b/>
          <w:bCs/>
          <w:kern w:val="2"/>
          <w:szCs w:val="24"/>
          <w:shd w:val="clear" w:color="auto" w:fill="FFFFFF"/>
        </w:rPr>
        <w:t>二、主要技术参数要求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eastAsia="宋体" w:cs="宋体"/>
          <w:bCs/>
          <w:kern w:val="0"/>
          <w:sz w:val="24"/>
        </w:rPr>
        <w:t>便携式气相分子吸收光谱仪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1、基本参数要求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（1）用途：主要用于测定水中氨氮、硫化物、硝酸盐氮、亚硝酸盐氮、总氮；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（2）工作条件：野外使用可便携式移动电源，实验室内使用时支持AC 220V；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（3）技术特点：一体便携式设计，必须在一个主机内集成仪器正常工作需要全部功能；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（4）一体式的主机必须包含如下结构：进样及反应控制系统、气液分离系统、加热系统、光源光学及检测系统、自动稀释系统、总氮紫外在线消解模块。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（5）光源光学及检测系统：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满足HJ/T 195～HJ/T 200-2005六项气相分子吸收光谱法标准对光学系统测定稳定性要求；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检测器：配备多波长同时测定的高灵敏度CCD检测器；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所有项目测定时，实时同时记录不少于5个不同波长吸光度变化情况，形成多个波长的信号图谱曲线，方便用户判断样品数据是否受干扰；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所有项目在测试过程同时，自动生成待测气体的任一时间点紫外区全波段扫描图谱（波长范围190nm—390nm的），方便使用者判断样品分析是否存在干扰；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（6）进样及反应控制系统：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TCS温度控制系统：&lt;0.5℃，加热器预热时间少于5分钟, 降低环境温度和样品温度变化带来的影响；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配备氨氮快速氧化装置：氨氮快速氧化装置的加热方式为将氨氮样品溶液预加热到温度60℃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～70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℃，不加热次溴酸盐氧化剂；在预热后氨氮样品溶液中迅速加入次溴酸盐氧化剂，氧化剂在加入瞬间将溶液中的氨氮氧化为亚硝酸盐氮；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（7）载气及控制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载气：内置气源自供载气，同时支持使用外供载气（空气或氮气均可）；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EPC载气电子压力控制系统：EPC系统对载气流量自动补偿修正，增强仪器稳定性能、响应时间&lt;1S；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配备电子压力报警系统：仪器自动监控载气流量及压力，当载气压力及流量达不到正常测试需求时，自动蜂鸣报警并自动关闭进样及加热系统，同时锁定软件并自动保存已测定数据；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（8）气液分离系统：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气液分离采用长管路连续多次萃取方式，以确保待测成份能从液相中充分分离；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配备除水系统，不使用任何干燥剂，有效去除分离后气体中带出的水份；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 xml:space="preserve">（9）内置自动稀释系统：自动在线稀释功能：可对高浓度样品自动选择合适的稀释倍数，可自动配置稀释比达到40倍数的标准曲线，相关性系数&gt;0.9995，最大稀释倍数不小于40，稀释准确度：0~20倍时，稀释误差小于3%；20倍以上稀释误差小于5%；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 xml:space="preserve">（10）内置总氮紫外在线消解模块:紫外灯能耗（智能控制功耗）：300～700W；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（11）便携性要求：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主机标配带轮便携箱（带拉杆，带轮），便于携带、野外使用）方便野外移动使用；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主机软件系统具有自检功能: 测定前仪器自动检测通讯口、波长等。软件具有反控功能，由软件直接设置仪器测试波长，泵进样参数等测试条件；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12）为满足环保要求，节约试剂，减少二次污染产生，，要求在符合上述灵敏度检出限时，氨氮测定单个样品的进样量不大于16mL；总氮测定单个样品的进样量不大于12mL；硫化物测定单个样品的进样量不大于10mL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2、技术参数：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（1）氨氮项目：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精密度要求（连续测定6次）：0.1mg/L，RSD&lt; 3％；0.2mg/L，RSD&lt; 2％；0.5mg/L，RSD&lt; 1％。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线性要求：根据设定自动配置标准曲线浓度，相关性系数r≥0.9995；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检出限要求：单次测定进样量不超过16mL，且同时除去亚硝酸盐时的检出限≤0.02mg/L；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（2）硫化物项目：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精密度要求（连续测定6次）：0.1mg/L，RSD&lt; 5％；0.2mg/L，RSD&lt; 3％；0.5mg/L，RSD&lt; 2％。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线性要求：根据设定自动配置标准曲线浓度，相关性系数r≥0.9995；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检出限要求：单次测定进样量不超过10mL时的检出限≤0.005mg/L；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（3）硝酸盐氮项目：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精密度要求（连续测定6次）：0.2mg/L，RSD&lt; 5％；0.5mg/L，RSD&lt; 3％；1.0mg/L，RSD&lt; 2％。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线性要求：根据设定自动配置标准曲线浓度，相关性系数r≥0.9995；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检出限要求：单次测定进样量不超过10mL时的检出限≤0.006mg/L；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（4）亚硝酸盐氮项目：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精密度要求（连续测定6次）：0.2mg/L，RSD&lt;5％；0.5mg/L，RSD&lt;3％；1.0mg/L，RSD&lt;2％；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线性要求：根据设定自动配置标准曲线浓度，相关性系数r≥0.9995；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检出限要求：单次测定进样量不超过10mL时的检出限≤0.003mg/L）；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（5）总氮项目：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精密度要求（连续测定6次）：0.2mg/L，RSD&lt;5％；0.5mg/L，RSD&lt;3％；1.0mg/L，RSD&lt;2％；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线性要求：根据设定自动配置标准曲线浓度，相关性系数r≥0.9995；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检出限要求：单次测定进样量不超过12mL时的检出限≤0.03mg/L）；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3、配置要求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（1）主机1套：光源光学及CCD检测系统、自动除水系统、在线加热系统、TCS温度控制系统、EPC电子压力控制系统、在线稀释系统、氨氮在线氧化系统、总氮消解系统；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（2）主机便携箱（带轮）1套；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（3）附件箱（含移动电源，试剂盒）1套；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（4）壹年耗材配件，含进样软管，尾气吸收装置；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（5）整机免费保修贰年，保修期内维修全免费。</w:t>
      </w:r>
    </w:p>
    <w:p>
      <w:pPr>
        <w:pStyle w:val="2"/>
      </w:pP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shd w:val="clear" w:color="auto" w:fill="FFFFFF"/>
        </w:rPr>
        <w:t>（二）</w:t>
      </w:r>
      <w:r>
        <w:rPr>
          <w:rFonts w:ascii="方正仿宋_GBK" w:cs="Times New Roman"/>
          <w:sz w:val="24"/>
          <w:szCs w:val="24"/>
        </w:rPr>
        <w:t>便携水质自动分析仪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1、基本参数要求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（1）</w:t>
      </w:r>
      <w:r>
        <w:rPr>
          <w:rFonts w:hint="eastAsia" w:ascii="Times New Roman" w:hAnsi="Times New Roman"/>
          <w:szCs w:val="24"/>
          <w:shd w:val="clear" w:color="auto" w:fill="FFFFFF"/>
        </w:rPr>
        <w:t>▲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采用5寸高清IPS触摸显示屏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（2）</w:t>
      </w:r>
      <w:r>
        <w:rPr>
          <w:rFonts w:hint="eastAsia" w:ascii="Times New Roman" w:hAnsi="Times New Roman"/>
          <w:szCs w:val="24"/>
          <w:shd w:val="clear" w:color="auto" w:fill="FFFFFF"/>
        </w:rPr>
        <w:t>▲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人性化项目检测，可直接选取COD、氨氮、总磷、总氮检测项也可加项六价铬、氰化物、余氯、挥发酚等指标，并可进行扩展升级且支持电极法测试。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（3）整机采用人体工学设计便于携带、机壳轻便美观、操作简单、具有一定的抗震性；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（4）读数模式有吸光度、透光率、浓度；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（5）内置多种测量方法，可直接测量；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（6）直接读取测量结果，无需换算，自动锁定测量值；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（7）操作方便，可直接使用比色管作为测量容器；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（8）内置大容量离子电池，待机时间长，可通过Type-C接口直接进行充电；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（9）</w:t>
      </w:r>
      <w:r>
        <w:rPr>
          <w:rFonts w:hint="eastAsia" w:ascii="Times New Roman" w:hAnsi="Times New Roman"/>
          <w:szCs w:val="24"/>
          <w:shd w:val="clear" w:color="auto" w:fill="FFFFFF"/>
        </w:rPr>
        <w:t>▲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具有超时自动熄屏，一键唤醒功能；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（10）内置16G内存卡，可存档10年以上数据方便日后查询；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（11）内置多路阵列冷光源，光源寿命长、测量指标多等特点；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（12）内置100条标准曲线，预留数十条自定义曲线可根据用户需要自行建立；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消解仪部分：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（13）</w:t>
      </w:r>
      <w:r>
        <w:rPr>
          <w:rFonts w:hint="eastAsia" w:ascii="Times New Roman" w:hAnsi="Times New Roman"/>
          <w:szCs w:val="24"/>
          <w:shd w:val="clear" w:color="auto" w:fill="FFFFFF"/>
        </w:rPr>
        <w:t>▲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采用3.5英寸IPS高清彩屏，菜单设计智能简洁；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（14）内置7条标准温度曲线；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（15）预留11条自定义温度曲线，支持编辑、保存、调用；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（16）室温~185℃，用户可根据需要自行调节，兼容性更广；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（17）</w:t>
      </w:r>
      <w:r>
        <w:rPr>
          <w:rFonts w:hint="eastAsia" w:ascii="Times New Roman" w:hAnsi="Times New Roman"/>
          <w:szCs w:val="24"/>
          <w:shd w:val="clear" w:color="auto" w:fill="FFFFFF"/>
        </w:rPr>
        <w:t>▲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消解仪具备连续和非连续两种加热模式供用户选择，实现节能节电；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（18）</w:t>
      </w:r>
      <w:r>
        <w:rPr>
          <w:rFonts w:hint="eastAsia" w:ascii="Times New Roman" w:hAnsi="Times New Roman"/>
          <w:szCs w:val="24"/>
          <w:shd w:val="clear" w:color="auto" w:fill="FFFFFF"/>
        </w:rPr>
        <w:t>▲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消解仪报警提示具备三种模式：10S、60S、连续；适应不同用户需求；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 xml:space="preserve">（19）采用进口加热元件使消解温度更加精准可靠；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 xml:space="preserve">（20）消解功率随负载数量自动调整，智能恒温控制，延时保护；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（21）温度、时间可任意调节并保存，倒计时显示；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（22）仪器便携小巧可快速应用于现场检测；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（23）消解样品数：5个样/批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（24）</w:t>
      </w:r>
      <w:r>
        <w:rPr>
          <w:rFonts w:hint="eastAsia" w:ascii="Times New Roman" w:hAnsi="Times New Roman"/>
          <w:szCs w:val="24"/>
          <w:shd w:val="clear" w:color="auto" w:fill="FFFFFF"/>
        </w:rPr>
        <w:t>▲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配DC24V高容量直流锂电池，可实时显示电量、连续工作8小时；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2、技术参数：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（1）常规测量范围：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COD：5-12000mg/L（分段）；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氨氮:0.01-200mg/L；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总磷:0.001-16mg/L；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总氮:0.01-100mg/L；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六价铬：0.01-2mg/L；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氰化物：0-0.5mg/L；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余氯:0.01-10mg/L等。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（2）电极法测量项目：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pH：测量范围：0-14pH、精确度：±0.1pH、分辨率：0.01；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水温：测量范围：0-60℃、精确度：±0.5℃、分辨率：0.1；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溶解氧：测量范围：0-20mg/L、精确度：0.1 mg/L、分辨率：0.01；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电导率 ：测量范围：0-200Ms/cm、精确度：±1%、分辨率：0.01；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ORP：范围：-2000~2000MV ,精确度±1mv、精度：±0.2mV、分辨率：0.1；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浊度：电极法、测量范围：0-4000NTU、精确度＜5%、分辨率0.01；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3、售后要求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（1）对产品进行终身维修；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（2）软件免费升级：如有软件升级，厂方将免费提供升级软件，不再收取升级费用；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（3）安装调试：在用户提供符合产品的工作条件情况下，厂方为产品免费提供1次安装调试服务，使产品正常使用；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（4）对产品自验收合格之日起免费保修1年，特殊注明除外；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（5）免费保修期内，维修相关费用全免。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</w:p>
    <w:p>
      <w:pPr>
        <w:spacing w:line="360" w:lineRule="auto"/>
        <w:ind w:firstLine="482" w:firstLineChars="200"/>
        <w:rPr>
          <w:rFonts w:ascii="方正仿宋_GBK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shd w:val="clear" w:color="auto" w:fill="FFFFFF"/>
        </w:rPr>
        <w:t>（三）</w:t>
      </w:r>
      <w:r>
        <w:rPr>
          <w:rFonts w:hint="eastAsia" w:ascii="方正仿宋_GBK" w:cs="Times New Roman"/>
          <w:sz w:val="24"/>
          <w:szCs w:val="24"/>
        </w:rPr>
        <w:t>便携式重金属测定仪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1、基本参数要求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（1）通过配置不同的工作电极，可检测十种以上的金属离子。仪器可支持自行开发更多种重金属离子检测方法；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（2）仪器必须自带集成显示屏，保证在野外无需电脑可以单独使用，方便现场应急检测；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（3）电极组配制：独立的玻碳工作电极（对应检测项目：Zn、Cd、Pb、Cu）；独立的金工作电极（对应检测项目：Hg、As）；独立的铂对电极；独立的银/氯化银参比电极；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 xml:space="preserve">（4）设备集成软件功能：操作菜单和检测结果直接显示；可控制完整的检测过程，对10 种不同的金属进行测量；  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（5）▲为使仪器操作协调统一，要求一种原理即可实现上述元素的测量，无需增加其他模块。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2、技术参数：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（1）检测时间：单项≤5mins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（2）▲检测精度：电脑软件控制为100ppb 时≤±5%；单机操作为100ppb≤±10%；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（3）分辨率：0.5ppb。USB 通讯接口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（4）测量标准液示值误差≤±3%（@100ppb），重现性RSD≤5%；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（5）元素检测范围：▲阳极溶出法：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铜：0.1 ppb～30 ppm；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镉：0.1 ppb～40 ppm；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铅：0.5 ppb～50 ppm；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锌：0.5 ppb～40 ppm；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汞：0.1 ppb～6 ppm；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三价砷：1ppb～ 20 ppm；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3、售后要求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（1）对产品进行终身维修；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（2）软件免费升级：如有软件升级，厂方将免费提供升级软件，不再收取升级费用；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（3）安装调试：在用户提供符合产品的工作条件情况下，厂方为产品免费提供1次安装调试服务，使产品正常使用；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（4）对产品自验收合格之日起免费保修1年，特殊注明除外；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（5）免费保修期内，维修相关费用全免。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（四）电感耦合等离子体质谱仪ICP-MS(可车载)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1、货物清单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72"/>
        <w:gridCol w:w="847"/>
        <w:gridCol w:w="10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方正仿宋_GBK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方正仿宋_GBK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方正仿宋_GBK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方正仿宋_GBK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2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电感耦合等离子体质谱仪（</w:t>
            </w:r>
            <w:r>
              <w:rPr>
                <w:rFonts w:hint="eastAsia" w:cs="Times New Roman"/>
                <w:sz w:val="24"/>
                <w:szCs w:val="24"/>
              </w:rPr>
              <w:t>ICP-MS</w:t>
            </w:r>
            <w:r>
              <w:rPr>
                <w:rFonts w:hint="eastAsia" w:ascii="方正仿宋_GBK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套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</w:p>
        </w:tc>
        <w:tc>
          <w:tcPr>
            <w:tcW w:w="2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Hlk165978858"/>
            <w:r>
              <w:rPr>
                <w:rFonts w:hint="eastAsia" w:ascii="方正仿宋_GBK"/>
                <w:sz w:val="24"/>
                <w:szCs w:val="24"/>
              </w:rPr>
              <w:t>可移动试验台</w:t>
            </w:r>
            <w:bookmarkEnd w:id="0"/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套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车载用</w:t>
            </w:r>
          </w:p>
        </w:tc>
      </w:tr>
    </w:tbl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2、总体要求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（1）电感耦合等离子体质谱仪作为新一代重金属分析系统，可搭配LC、自动进样器、全自动石墨消解系统等连用技术。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（2）该系统广泛应用于水质、土壤、大气颗粒物、固废、食品、动植物、食品接触材料、化妆品、半导体、高纯材料、矿产、石油化工、工业品、纺织等领域，且符合相关国家标准分析方法的要求。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3、技术要求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（1）离子源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▲①平衡式驱动，减少离子动能色散，降低二次离子产生，无需屏蔽圈等额外昂贵的消耗品就可消除锥口二次电弧放电，延长锥使用寿命。如果所提供的设备需要屏蔽炬消除锥口二次电弧放电，则须提供屏蔽炬≥30套。</w:t>
      </w:r>
    </w:p>
    <w:p>
      <w:pPr>
        <w:pStyle w:val="18"/>
        <w:spacing w:line="360" w:lineRule="auto"/>
        <w:ind w:firstLine="56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hint="eastAsia" w:ascii="Times New Roman" w:hAnsi="Times New Roman"/>
          <w:szCs w:val="24"/>
          <w:shd w:val="clear" w:color="auto" w:fill="FFFFFF"/>
        </w:rPr>
        <w:t>▲②提供500W超低功率待机，降低氩气消耗50%以上，此模式下冷却气流量5 L/min，可保持等离子体稳定。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（2）接口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▲双锥设计，锥材质为镍、铂材质可选。提手式换锥系统，自带联锁保护，杜绝异常操作。简便的体外换锥维护，无需泄真空就可以方便换锥维护，且避免线圈的损坏。如果属于体内换锥，则需提供备用锥≥10套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（3）提取透镜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提取透镜上可以使用零电压、负电压和正电压等多种提取模式，独特的设计，免维护清洗。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（4）离子传输系统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▲低背景的离子传输设计，离子前后两次离轴，实现干扰粒子的有效消除（中性粒子、电子、光子），无需更换清洗离子透镜。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（5）碰撞反应池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▲采用全新的六极杆碰撞/反应池系统，分布式进气系统最大限度消除干扰，大大提高碰撞效率，提升灵敏度。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（6）四级杆质量分析器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▲</w:t>
      </w:r>
      <w:r>
        <w:rPr>
          <w:rFonts w:ascii="Times New Roman" w:hAnsi="Times New Roman"/>
          <w:kern w:val="2"/>
          <w:szCs w:val="24"/>
          <w:shd w:val="clear" w:color="auto" w:fill="FFFFFF"/>
        </w:rPr>
        <w:t>高精度纯Mo材料四极杆，保证最佳的质量轴稳定性，采用2.0MHz低频驱动四极杆，以获得更宽的质谱分析范围和更优异的质量轴稳定性</w:t>
      </w:r>
      <w:r>
        <w:rPr>
          <w:rFonts w:hint="eastAsia" w:ascii="Times New Roman" w:hAnsi="Times New Roman"/>
          <w:kern w:val="2"/>
          <w:szCs w:val="24"/>
          <w:shd w:val="clear" w:color="auto" w:fill="FFFFFF"/>
        </w:rPr>
        <w:t>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（7）检测器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ascii="Times New Roman" w:hAnsi="Times New Roman"/>
          <w:kern w:val="2"/>
          <w:szCs w:val="24"/>
          <w:shd w:val="clear" w:color="auto" w:fill="FFFFFF"/>
        </w:rPr>
        <w:t>脉冲</w:t>
      </w:r>
      <w:r>
        <w:rPr>
          <w:rFonts w:hint="eastAsia" w:ascii="Times New Roman" w:hAnsi="Times New Roman"/>
          <w:kern w:val="2"/>
          <w:szCs w:val="24"/>
          <w:shd w:val="clear" w:color="auto" w:fill="FFFFFF"/>
        </w:rPr>
        <w:t>/</w:t>
      </w:r>
      <w:r>
        <w:rPr>
          <w:rFonts w:ascii="Times New Roman" w:hAnsi="Times New Roman"/>
          <w:kern w:val="2"/>
          <w:szCs w:val="24"/>
          <w:shd w:val="clear" w:color="auto" w:fill="FFFFFF"/>
        </w:rPr>
        <w:t>模拟双模式</w:t>
      </w:r>
      <w:r>
        <w:rPr>
          <w:rFonts w:hint="eastAsia" w:ascii="Times New Roman" w:hAnsi="Times New Roman"/>
          <w:kern w:val="2"/>
          <w:szCs w:val="24"/>
          <w:shd w:val="clear" w:color="auto" w:fill="FFFFFF"/>
        </w:rPr>
        <w:t>不连续打拿极检测器</w:t>
      </w:r>
      <w:r>
        <w:rPr>
          <w:rFonts w:ascii="Times New Roman" w:hAnsi="Times New Roman"/>
          <w:kern w:val="2"/>
          <w:szCs w:val="24"/>
          <w:shd w:val="clear" w:color="auto" w:fill="FFFFFF"/>
        </w:rPr>
        <w:t>，可以在一次进样过程中同时完成扫描和选择分析（定性和定量分析），</w:t>
      </w:r>
      <w:r>
        <w:rPr>
          <w:rFonts w:hint="eastAsia" w:ascii="Times New Roman" w:hAnsi="Times New Roman"/>
          <w:kern w:val="2"/>
          <w:szCs w:val="24"/>
          <w:shd w:val="clear" w:color="auto" w:fill="FFFFFF"/>
        </w:rPr>
        <w:t>并</w:t>
      </w:r>
      <w:r>
        <w:rPr>
          <w:rFonts w:ascii="Times New Roman" w:hAnsi="Times New Roman"/>
          <w:kern w:val="2"/>
          <w:szCs w:val="24"/>
          <w:shd w:val="clear" w:color="auto" w:fill="FFFFFF"/>
        </w:rPr>
        <w:t>可在模拟和脉冲模式之间实现自动切换。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（8）等离子体可视系统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具有带电磁屏蔽的等离子体实时观测功能，可以通过工作站软件实时监控等离子体状态，实时全彩监测等离子体、锥口和中心管状态，便于样品分析和维护确认。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（9）静音罩</w:t>
      </w:r>
    </w:p>
    <w:p>
      <w:pPr>
        <w:pStyle w:val="18"/>
        <w:widowControl/>
        <w:spacing w:line="360" w:lineRule="auto"/>
        <w:ind w:firstLine="480" w:firstLineChars="20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可配置静音罩，降低实验室噪音，改善实验室分析环境。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（10）进样系统要求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①提供多种雾化器可选，包括高效石英同心雾化器；耐高盐同心雾化器；PFA微量进样雾化器，具有高雾化效率及可耐氢氟酸进样。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②标配Scott型雾化室，双通道设计减少信号的随机波动，配置TEC制冷模块，制冷温度&lt;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℃</w:t>
      </w:r>
      <w:r>
        <w:rPr>
          <w:rFonts w:hint="eastAsia" w:ascii="Times New Roman" w:hAnsi="Times New Roman"/>
          <w:sz w:val="24"/>
          <w:szCs w:val="24"/>
        </w:rPr>
        <w:t>，提高仪器的连续工作稳定性和有机溶剂分析能力，降低氧化物产率，提升仪器的稳定性。</w:t>
      </w:r>
    </w:p>
    <w:p>
      <w:pPr>
        <w:pStyle w:val="32"/>
        <w:spacing w:line="360" w:lineRule="auto"/>
        <w:ind w:firstLine="426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▲</w:t>
      </w:r>
      <w:r>
        <w:rPr>
          <w:rFonts w:hint="eastAsia" w:ascii="Times New Roman" w:hAnsi="Times New Roman"/>
          <w:sz w:val="24"/>
          <w:szCs w:val="24"/>
        </w:rPr>
        <w:t>③分</w:t>
      </w:r>
      <w:r>
        <w:rPr>
          <w:rFonts w:ascii="Times New Roman" w:hAnsi="Times New Roman"/>
          <w:sz w:val="24"/>
          <w:szCs w:val="24"/>
        </w:rPr>
        <w:t>体设计的可拆卸式石英炬管，预准直的炬管座内置式气路连接，易操作的卡式推入炬管设计，方便日常更换维护而无需拆卸气体管路。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④多种中心管可选，与炬管分离式设计，针对不同应用仅需更换中心管即可实现有机、高盐、高灵敏、耐HF酸等不同进样需求，方便更换与维护。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⑤高精度气体质量流量计标配控制</w:t>
      </w:r>
      <w:r>
        <w:rPr>
          <w:rFonts w:hint="eastAsia" w:ascii="Times New Roman" w:hAnsi="Times New Roman"/>
          <w:b/>
          <w:sz w:val="24"/>
          <w:szCs w:val="24"/>
        </w:rPr>
        <w:t>四路</w:t>
      </w:r>
      <w:r>
        <w:rPr>
          <w:rFonts w:hint="eastAsia" w:ascii="Times New Roman" w:hAnsi="Times New Roman"/>
          <w:sz w:val="24"/>
          <w:szCs w:val="24"/>
        </w:rPr>
        <w:t>工作气体，包括雾化气、辅助气、冷却气、碰撞气。根据需要可扩展第五路附加气，用做氩气在线稀释系统的稀释气。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⑥可配置全自动在线气体稀释装置，可在矩管之前把样品基体稀释到0.3%以内，保证接口区域与质谱区域不受高基体污染，消除高基体造成的信号抑制效果，具有预设稀释倍数和稀释气体流量手动调节两种工作模式。传统ICP-MS耐盐~0.2%，氩气稀释后可实现&gt;10%含盐量的直接测定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（11）软件要求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①</w:t>
      </w:r>
      <w:r>
        <w:rPr>
          <w:rFonts w:ascii="Times New Roman" w:hAnsi="Times New Roman"/>
          <w:sz w:val="24"/>
          <w:szCs w:val="24"/>
        </w:rPr>
        <w:t>操作系统：知名品牌商用电脑， Microsoft® Windows 10</w:t>
      </w:r>
      <w:r>
        <w:rPr>
          <w:rFonts w:hint="eastAsia" w:ascii="Times New Roman" w:hAnsi="Times New Roman"/>
          <w:sz w:val="24"/>
          <w:szCs w:val="24"/>
        </w:rPr>
        <w:t>等</w:t>
      </w:r>
      <w:r>
        <w:rPr>
          <w:rFonts w:ascii="Times New Roman" w:hAnsi="Times New Roman"/>
          <w:sz w:val="24"/>
          <w:szCs w:val="24"/>
        </w:rPr>
        <w:t>多任务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多用户系统软件。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②</w:t>
      </w:r>
      <w:r>
        <w:rPr>
          <w:rFonts w:ascii="Times New Roman" w:hAnsi="Times New Roman"/>
          <w:sz w:val="24"/>
          <w:szCs w:val="24"/>
        </w:rPr>
        <w:t>自动</w:t>
      </w:r>
      <w:r>
        <w:rPr>
          <w:rFonts w:hint="eastAsia" w:ascii="Times New Roman" w:hAnsi="Times New Roman"/>
          <w:sz w:val="24"/>
          <w:szCs w:val="24"/>
        </w:rPr>
        <w:t>化</w:t>
      </w:r>
      <w:r>
        <w:rPr>
          <w:rFonts w:ascii="Times New Roman" w:hAnsi="Times New Roman"/>
          <w:sz w:val="24"/>
          <w:szCs w:val="24"/>
        </w:rPr>
        <w:t>分析功能</w:t>
      </w:r>
      <w:r>
        <w:rPr>
          <w:rFonts w:hint="eastAsia" w:ascii="Times New Roman" w:hAnsi="Times New Roman"/>
          <w:sz w:val="24"/>
          <w:szCs w:val="24"/>
        </w:rPr>
        <w:t>（仪器形象化界面、自动调谐、自动诊断、定制化用户报告、</w:t>
      </w:r>
      <w:r>
        <w:rPr>
          <w:rFonts w:ascii="Times New Roman" w:hAnsi="Times New Roman"/>
          <w:sz w:val="24"/>
          <w:szCs w:val="24"/>
        </w:rPr>
        <w:t>启动关闭</w:t>
      </w:r>
      <w:r>
        <w:rPr>
          <w:rFonts w:hint="eastAsia" w:ascii="Times New Roman" w:hAnsi="Times New Roman"/>
          <w:sz w:val="24"/>
          <w:szCs w:val="24"/>
        </w:rPr>
        <w:t>真空，</w:t>
      </w:r>
      <w:r>
        <w:rPr>
          <w:rFonts w:ascii="Times New Roman" w:hAnsi="Times New Roman"/>
          <w:sz w:val="24"/>
          <w:szCs w:val="24"/>
        </w:rPr>
        <w:t>炬位调整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等离子体参数</w:t>
      </w:r>
      <w:r>
        <w:rPr>
          <w:rFonts w:hint="eastAsia"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</w:rPr>
        <w:t>离子透镜</w:t>
      </w:r>
      <w:r>
        <w:rPr>
          <w:rFonts w:hint="eastAsia" w:ascii="Times New Roman" w:hAnsi="Times New Roman"/>
          <w:sz w:val="24"/>
          <w:szCs w:val="24"/>
        </w:rPr>
        <w:t>电压优化，</w:t>
      </w:r>
      <w:r>
        <w:rPr>
          <w:rFonts w:ascii="Times New Roman" w:hAnsi="Times New Roman"/>
          <w:sz w:val="24"/>
          <w:szCs w:val="24"/>
        </w:rPr>
        <w:t>标准</w:t>
      </w:r>
      <w:r>
        <w:rPr>
          <w:rFonts w:hint="eastAsia"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</w:rPr>
        <w:t>碰撞池</w:t>
      </w:r>
      <w:r>
        <w:rPr>
          <w:rFonts w:hint="eastAsia" w:ascii="Times New Roman" w:hAnsi="Times New Roman"/>
          <w:sz w:val="24"/>
          <w:szCs w:val="24"/>
        </w:rPr>
        <w:t>工作模式</w:t>
      </w:r>
      <w:r>
        <w:rPr>
          <w:rFonts w:ascii="Times New Roman" w:hAnsi="Times New Roman"/>
          <w:sz w:val="24"/>
          <w:szCs w:val="24"/>
        </w:rPr>
        <w:t>切换等</w:t>
      </w:r>
      <w:r>
        <w:rPr>
          <w:rFonts w:hint="eastAsia" w:ascii="Times New Roman" w:hAnsi="Times New Roman"/>
          <w:sz w:val="24"/>
          <w:szCs w:val="24"/>
        </w:rPr>
        <w:t>）。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③具备实时数据显示和实时报告显示功能。其他智能化功能包括：动态调整进样时间和冲洗时间，用户方法库管理，QC功能可以满足EPA方法的QC要求。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④</w:t>
      </w:r>
      <w:r>
        <w:rPr>
          <w:rFonts w:ascii="Times New Roman" w:hAnsi="Times New Roman"/>
          <w:sz w:val="24"/>
          <w:szCs w:val="24"/>
        </w:rPr>
        <w:t>ICP</w:t>
      </w:r>
      <w:r>
        <w:rPr>
          <w:rFonts w:hint="eastAsia"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MS操作软件</w:t>
      </w:r>
      <w:r>
        <w:rPr>
          <w:rFonts w:hint="eastAsia" w:ascii="Times New Roman" w:hAnsi="Times New Roman"/>
          <w:sz w:val="24"/>
          <w:szCs w:val="24"/>
        </w:rPr>
        <w:t>还</w:t>
      </w:r>
      <w:r>
        <w:rPr>
          <w:rFonts w:ascii="Times New Roman" w:hAnsi="Times New Roman"/>
          <w:sz w:val="24"/>
          <w:szCs w:val="24"/>
        </w:rPr>
        <w:t>可以安装于个人计算机上，样品分析数据可以使用此软件进行离线数据处理并生成报告。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⑤具备HPLC-ICP-MS联用功能：液相色谱与质谱仪为同一制造厂家生产、同一品牌，保证联机技术的稳定性和售后服务的一致性。可以用同一台电脑和同一套软件同时控制现有HPLC和ICP-MS，实现联机全自动同步分析的系统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pStyle w:val="32"/>
        <w:spacing w:line="360" w:lineRule="auto"/>
        <w:ind w:firstLine="426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▲</w:t>
      </w:r>
      <w:r>
        <w:rPr>
          <w:rFonts w:hint="eastAsia" w:ascii="Times New Roman" w:hAnsi="Times New Roman"/>
          <w:sz w:val="24"/>
          <w:szCs w:val="24"/>
        </w:rPr>
        <w:t>⑥可配置全自动超级微波</w:t>
      </w:r>
      <w:r>
        <w:rPr>
          <w:rFonts w:ascii="Times New Roman" w:hAnsi="Times New Roman"/>
          <w:sz w:val="24"/>
          <w:szCs w:val="24"/>
        </w:rPr>
        <w:t>-ICP-MS</w:t>
      </w:r>
      <w:r>
        <w:rPr>
          <w:rFonts w:hint="eastAsia" w:ascii="Times New Roman" w:hAnsi="Times New Roman"/>
          <w:sz w:val="24"/>
          <w:szCs w:val="24"/>
        </w:rPr>
        <w:t>接口：可以用同一台电脑和同一套软件同时控制全自动超级微波和ICP-MS，实现联机全自动“一键式”分析，包括加酸、加盖、消解、定容、混匀、点火、进样、建立标曲、制定报表等一系列自动化功能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▲⑦可与固体直接进样系统联用，无需湿法消解，实现固体样品直接进样分析。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▲⑧具备专用的单颗粒分析软件，可提供单颗粒分析模式，可实现纳米材料和单颗粒中多元素快速分析，四极杆最短驻留时间：</w:t>
      </w:r>
      <w:r>
        <w:rPr>
          <w:rFonts w:ascii="Times New Roman" w:hAnsi="Times New Roman"/>
          <w:sz w:val="24"/>
          <w:szCs w:val="24"/>
        </w:rPr>
        <w:t>10 µS。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⑨</w:t>
      </w:r>
      <w:r>
        <w:rPr>
          <w:rFonts w:hint="eastAsia" w:ascii="Times New Roman" w:hAnsi="Times New Roman"/>
          <w:bCs/>
          <w:sz w:val="24"/>
          <w:szCs w:val="24"/>
        </w:rPr>
        <w:t>具有软件源代码修改以适应在线监测等特殊需要的能力。</w:t>
      </w:r>
    </w:p>
    <w:p>
      <w:pPr>
        <w:pStyle w:val="32"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（12）性能要求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质量范围：2-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60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amu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质量分辨率：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具有高分辨和标准分辨率两种模式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调节范围0.3-2.0amu。连续可调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可以在一次方法分析过程中同时使用两种模式，以便通过变化分辨率扩大样品分析应用范围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线性动态范围：大于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个数量级。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背景稳定性：定义为5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amu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处背景信号的平均值，低于0.5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cps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短期稳定性：20分钟稳定性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RSD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长期稳定性：2小时稳定性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RSD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 xml:space="preserve">▲灵敏度：在同样一个仪器条件下， Li的灵敏度应在20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Mcps/ppm 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以上，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的灵敏度应在18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Mcps/ppm 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以上，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的灵敏度应在20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 Mcps/ppm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以上。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双电荷离子和氧化物离子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Ce ++/ Ce +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低于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％，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CeO+/Ce+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的低于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%。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▲检出限：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Li的检出限应低于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0.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ppt, In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的检出限应低于0.1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ppt, U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的检出限应低于0.1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ppt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丰度灵敏度：低质量端: 1 x 10-6；高质量端: 5 x 10-7。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质量轴稳定性: 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0.05 amu/24h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同位素比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精密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度: &lt; 0.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vertAlign w:val="superscript"/>
        </w:rPr>
        <w:t>107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Ag/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vertAlign w:val="superscript"/>
        </w:rPr>
        <w:t>109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Ag)，具备铀同位素比值测量能力。</w:t>
      </w:r>
    </w:p>
    <w:p>
      <w:pPr>
        <w:pStyle w:val="32"/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hint="eastAsia" w:ascii="Times New Roman" w:hAnsi="Times New Roman"/>
          <w:b/>
          <w:sz w:val="24"/>
          <w:szCs w:val="24"/>
        </w:rPr>
        <w:t>配置要求：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（1）电感耦合等子体质谱仪主机，包括：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采样锥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截取锥。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射频发生器。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偏转离子透镜。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碰撞反应池。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全质量流量气体控制器。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检测器。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机械泵。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蠕动泵。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减压阀。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旋流雾化室组件。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石英同心雾化器组件。</w:t>
      </w:r>
    </w:p>
    <w:p>
      <w:pPr>
        <w:pStyle w:val="32"/>
        <w:numPr>
          <w:ilvl w:val="0"/>
          <w:numId w:val="2"/>
        </w:numPr>
        <w:spacing w:line="360" w:lineRule="auto"/>
        <w:ind w:left="0" w:firstLine="426"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石英矩管中心管组件。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（2）ICP-MS专用分析软件以及在线帮助系统。</w:t>
      </w:r>
    </w:p>
    <w:p>
      <w:pPr>
        <w:pStyle w:val="32"/>
        <w:spacing w:line="360" w:lineRule="auto"/>
        <w:ind w:firstLine="482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▲</w:t>
      </w:r>
      <w:r>
        <w:rPr>
          <w:rFonts w:hint="eastAsia" w:ascii="Times New Roman" w:hAnsi="Times New Roman"/>
          <w:bCs/>
          <w:sz w:val="24"/>
          <w:szCs w:val="24"/>
        </w:rPr>
        <w:t>（3）快速进样控制软件模块。</w:t>
      </w:r>
    </w:p>
    <w:p>
      <w:pPr>
        <w:pStyle w:val="32"/>
        <w:spacing w:line="360" w:lineRule="auto"/>
        <w:ind w:firstLine="482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▲</w:t>
      </w:r>
      <w:r>
        <w:rPr>
          <w:rFonts w:hint="eastAsia" w:ascii="Times New Roman" w:hAnsi="Times New Roman"/>
          <w:bCs/>
          <w:sz w:val="24"/>
          <w:szCs w:val="24"/>
        </w:rPr>
        <w:t>（4）ETV固体进样控制软件模块。</w:t>
      </w:r>
    </w:p>
    <w:p>
      <w:pPr>
        <w:pStyle w:val="32"/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▲</w:t>
      </w:r>
      <w:r>
        <w:rPr>
          <w:rFonts w:hint="eastAsia" w:ascii="Times New Roman" w:hAnsi="Times New Roman"/>
          <w:bCs/>
          <w:sz w:val="24"/>
          <w:szCs w:val="24"/>
        </w:rPr>
        <w:t>（5）全自动超级微波消解装置控制软件模块。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（6）调谐液和校正液</w:t>
      </w:r>
      <w:r>
        <w:rPr>
          <w:rFonts w:ascii="Times New Roman" w:hAnsi="Times New Roman"/>
          <w:bCs/>
          <w:sz w:val="24"/>
          <w:szCs w:val="24"/>
        </w:rPr>
        <w:t xml:space="preserve">  1</w:t>
      </w:r>
      <w:r>
        <w:rPr>
          <w:rFonts w:hint="eastAsia" w:ascii="Times New Roman" w:hAnsi="Times New Roman"/>
          <w:bCs/>
          <w:sz w:val="24"/>
          <w:szCs w:val="24"/>
        </w:rPr>
        <w:t>套。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（7）一年耗材要求：（不包含在随机耗材内）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 xml:space="preserve">①石英矩管外管   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hint="eastAsia" w:ascii="Times New Roman" w:hAnsi="Times New Roman"/>
          <w:bCs/>
          <w:sz w:val="24"/>
          <w:szCs w:val="24"/>
        </w:rPr>
        <w:t>根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 xml:space="preserve">②蠕动泵排液管  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1包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③蠕动泵进样管   1包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 xml:space="preserve">④内标进样管   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/>
          <w:bCs/>
          <w:sz w:val="24"/>
          <w:szCs w:val="24"/>
        </w:rPr>
        <w:t>1包</w:t>
      </w:r>
    </w:p>
    <w:p>
      <w:pPr>
        <w:pStyle w:val="32"/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hint="eastAsia" w:ascii="Times New Roman" w:hAnsi="Times New Roman"/>
          <w:b/>
          <w:sz w:val="24"/>
          <w:szCs w:val="24"/>
        </w:rPr>
        <w:t>其它配套配置要求：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（1）计算机系统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i5-8500，8G，1TB硬盘，23英寸高清显示器，双网卡</w:t>
      </w:r>
      <w:r>
        <w:rPr>
          <w:rFonts w:hint="eastAsia" w:ascii="Times New Roman" w:hAnsi="Times New Roman"/>
          <w:bCs/>
          <w:sz w:val="24"/>
          <w:szCs w:val="24"/>
        </w:rPr>
        <w:t>。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（2）冷却循环水系统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制冷量2100W，水箱容积大于2L，电压220V。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（3）激光打印机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黑白激光打印机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（4）交流参数稳压器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15KVA，输入电压140V-300V，输出电压220 V±1%。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（5）不间断电源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10KVA，一小时延时，高频UPS，配置12V38AH-16。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（6）可移动试验台</w:t>
      </w:r>
    </w:p>
    <w:p>
      <w:pPr>
        <w:pStyle w:val="32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试验台尺寸要求≥250×65×58cm，用于车载I</w:t>
      </w:r>
      <w:r>
        <w:rPr>
          <w:rFonts w:ascii="Times New Roman" w:hAnsi="Times New Roman"/>
          <w:bCs/>
          <w:sz w:val="24"/>
          <w:szCs w:val="24"/>
        </w:rPr>
        <w:t>CP-MS</w:t>
      </w:r>
      <w:r>
        <w:rPr>
          <w:rFonts w:hint="eastAsia" w:ascii="Times New Roman" w:hAnsi="Times New Roman"/>
          <w:bCs/>
          <w:sz w:val="24"/>
          <w:szCs w:val="24"/>
        </w:rPr>
        <w:t>及其他配套设施的安装，实验台承重在125kg以上。</w:t>
      </w:r>
    </w:p>
    <w:p>
      <w:pPr>
        <w:pStyle w:val="32"/>
        <w:spacing w:line="360" w:lineRule="auto"/>
        <w:ind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hint="eastAsia" w:ascii="Times New Roman" w:hAnsi="Times New Roman"/>
          <w:b/>
          <w:sz w:val="24"/>
          <w:szCs w:val="24"/>
        </w:rPr>
        <w:t>技术服务要求：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（1）提供仪器的详细操作说明书。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（2）用户现场免费安装、调试、培训，维修响应时间一般情况≤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hint="eastAsia" w:ascii="Times New Roman" w:hAnsi="Times New Roman"/>
          <w:sz w:val="24"/>
          <w:szCs w:val="24"/>
        </w:rPr>
        <w:t>小时，到现场时间小于</w:t>
      </w:r>
      <w:r>
        <w:rPr>
          <w:rFonts w:ascii="Times New Roman" w:hAnsi="Times New Roman"/>
          <w:sz w:val="24"/>
          <w:szCs w:val="24"/>
        </w:rPr>
        <w:t>72</w:t>
      </w:r>
      <w:r>
        <w:rPr>
          <w:rFonts w:hint="eastAsia" w:ascii="Times New Roman" w:hAnsi="Times New Roman"/>
          <w:sz w:val="24"/>
          <w:szCs w:val="24"/>
        </w:rPr>
        <w:t>小时；供应商设有专业的培训中心，为用户提供免费培训（2人次，不少于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</w:rPr>
        <w:t>天）。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（3）仪器安装调试合格后提供保修期一年，制造厂方终生提供维修服务和技术支持。</w:t>
      </w:r>
    </w:p>
    <w:p>
      <w:pPr>
        <w:pStyle w:val="32"/>
        <w:widowControl/>
        <w:spacing w:line="360" w:lineRule="auto"/>
        <w:ind w:left="560" w:firstLine="0" w:firstLineChars="0"/>
        <w:rPr>
          <w:rFonts w:ascii="Times New Roman" w:hAnsi="Times New Roman"/>
          <w:szCs w:val="24"/>
        </w:rPr>
      </w:pPr>
    </w:p>
    <w:p>
      <w:pPr>
        <w:pStyle w:val="18"/>
        <w:widowControl/>
        <w:spacing w:line="360" w:lineRule="auto"/>
        <w:ind w:firstLine="640"/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（五）生物毒性检测仪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1、基本参数要求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（1）仪器小巧方便、操作快捷；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（2）对多种重金属、有机物等化学物质响应灵敏；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（3）电量强劲、USB接口充电方便；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（4）兼容ATP检测，一机多能；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（5）检测敏感度接近人体敏感毒性范围；</w:t>
      </w:r>
    </w:p>
    <w:p>
      <w:pPr>
        <w:pStyle w:val="32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（6）USB/WIFI等多种接口；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（7）内置标签打印机，可打印测量结果；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（8）污染地图功能，快速定位污染地点；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（9）全触摸电容显示屏，APP导航软件；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（10）通讯接口：USB、蓝牙、WIFI、4G等，可连接蓝牙打印机直接打印数据结果；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（11）数据储存：存储空间4GB（可拓展），存储数据大于100000组；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（12）测量原理：安卓智能操作程序引导客户轻松完成操作；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（13）连续工作时间：大于24小时；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（14）防护等级：IP65防尘防水，可适应恶劣环境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2、技术参数：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（1）光谱范围：300-1100nm；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（2）最快检测时间：5分钟；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（3）可检测毒性物质种类超过5000种；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（4）抑制率：-100%~100%；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（5）细菌储存温度： -18℃可存储一年；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（6）检测范围：能检测重金属离子、有机磷等农药、有机和无机的有毒物质引起的急性毒性；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（7）精密度：相对偏差值≤</w:t>
      </w:r>
      <w:r>
        <w:rPr>
          <w:rFonts w:ascii="Times New Roman" w:hAnsi="Times New Roman"/>
          <w:kern w:val="2"/>
          <w:szCs w:val="24"/>
        </w:rPr>
        <w:t>10%</w:t>
      </w:r>
      <w:r>
        <w:rPr>
          <w:rFonts w:hint="eastAsia" w:ascii="Times New Roman" w:hAnsi="Times New Roman"/>
          <w:kern w:val="2"/>
          <w:szCs w:val="24"/>
        </w:rPr>
        <w:t>（</w:t>
      </w:r>
      <w:r>
        <w:rPr>
          <w:rFonts w:ascii="Times New Roman" w:hAnsi="Times New Roman"/>
          <w:kern w:val="2"/>
          <w:szCs w:val="24"/>
        </w:rPr>
        <w:t>2mg/L ZnSO4</w:t>
      </w:r>
      <w:r>
        <w:rPr>
          <w:rFonts w:hint="eastAsia" w:ascii="微软雅黑" w:hAnsi="微软雅黑" w:eastAsia="微软雅黑" w:cs="微软雅黑"/>
          <w:kern w:val="2"/>
          <w:szCs w:val="24"/>
        </w:rPr>
        <w:t>･</w:t>
      </w:r>
      <w:r>
        <w:rPr>
          <w:rFonts w:ascii="Times New Roman" w:hAnsi="Times New Roman"/>
          <w:kern w:val="2"/>
          <w:szCs w:val="24"/>
        </w:rPr>
        <w:t>7H2O)</w:t>
      </w:r>
      <w:r>
        <w:rPr>
          <w:rFonts w:hint="eastAsia" w:ascii="Times New Roman" w:hAnsi="Times New Roman"/>
          <w:kern w:val="2"/>
          <w:szCs w:val="24"/>
        </w:rPr>
        <w:t>；实际水样测定时，相对偏差的绝对值≤±</w:t>
      </w:r>
      <w:r>
        <w:rPr>
          <w:rFonts w:ascii="Times New Roman" w:hAnsi="Times New Roman"/>
          <w:kern w:val="2"/>
          <w:szCs w:val="24"/>
        </w:rPr>
        <w:t>15%</w:t>
      </w:r>
      <w:r>
        <w:rPr>
          <w:rFonts w:hint="eastAsia" w:ascii="Times New Roman" w:hAnsi="Times New Roman"/>
          <w:kern w:val="2"/>
          <w:szCs w:val="24"/>
        </w:rPr>
        <w:t>，无毒水样毒性极差≤</w:t>
      </w:r>
      <w:r>
        <w:rPr>
          <w:rFonts w:ascii="Times New Roman" w:hAnsi="Times New Roman"/>
          <w:kern w:val="2"/>
          <w:szCs w:val="24"/>
        </w:rPr>
        <w:t>15%</w:t>
      </w:r>
      <w:r>
        <w:rPr>
          <w:rFonts w:hint="eastAsia" w:ascii="Times New Roman" w:hAnsi="Times New Roman"/>
          <w:kern w:val="2"/>
          <w:szCs w:val="24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3、售后要求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（1）对产品进行终身维修；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（2）软件免费升级：如有软件升级，厂方将免费提供升级软件，不再收取升级费用；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（3）安装调试：在用户提供符合产品的工作条件情况下，厂方为产品免费提供1次安装调试服务，使产品正常使用；</w:t>
      </w:r>
    </w:p>
    <w:p>
      <w:pPr>
        <w:pStyle w:val="18"/>
        <w:widowControl/>
        <w:spacing w:line="360" w:lineRule="auto"/>
        <w:ind w:firstLine="560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（4）对产品自验收合格之日起免费保修1年，特殊注明除外；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  <w:r>
        <w:rPr>
          <w:rFonts w:hint="eastAsia" w:ascii="Times New Roman" w:hAnsi="Times New Roman"/>
          <w:kern w:val="2"/>
          <w:szCs w:val="24"/>
          <w:shd w:val="clear" w:color="auto" w:fill="FFFFFF"/>
        </w:rPr>
        <w:t>（5）免费保修期内，维修相关费用全免。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shd w:val="clear" w:color="auto" w:fill="FFFFFF"/>
        </w:rPr>
        <w:t>三、报价供应商的要求：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1.符合《中华人民共和国政府采购法》第二十二条的规定；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2.未被“信用中国”网站（www.creditchina.gov.cn）列入失信被执行人、重大税收违法案件当事人名单、政府采购严重失信行为记录名单；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3.报价供应商具有有效的营业执照；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shd w:val="clear" w:color="auto" w:fill="FFFFFF"/>
          <w:lang w:val="zh-CN"/>
        </w:rPr>
        <w:t>四、约定事项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1、本项目所有货物提供</w:t>
      </w:r>
      <w:r>
        <w:rPr>
          <w:rFonts w:hint="eastAsia" w:ascii="Times New Roman" w:hAnsi="Times New Roman"/>
          <w:color w:val="FF0000"/>
          <w:kern w:val="2"/>
          <w:szCs w:val="24"/>
        </w:rPr>
        <w:t>至少壹年的</w:t>
      </w:r>
      <w:r>
        <w:rPr>
          <w:rFonts w:hint="eastAsia" w:ascii="Times New Roman" w:hAnsi="Times New Roman"/>
          <w:kern w:val="2"/>
          <w:szCs w:val="24"/>
        </w:rPr>
        <w:t>全免费质保（配件+人工），所有货物质保时间自验收合格之日起。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2、报价费用说明：包括满足本项目功能需求的一切设备、配件、辅料、搬运、安装等费用。</w:t>
      </w:r>
    </w:p>
    <w:p>
      <w:pPr>
        <w:pStyle w:val="18"/>
        <w:widowControl/>
        <w:spacing w:line="360" w:lineRule="auto"/>
        <w:ind w:left="239" w:leftChars="114" w:firstLine="398" w:firstLineChars="166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  <w:highlight w:val="yellow"/>
        </w:rPr>
        <w:t>3、参与报价的单位需将法人营业执照复印件、市场询价表于2024年5月1</w:t>
      </w:r>
      <w:r>
        <w:rPr>
          <w:rFonts w:hint="eastAsia" w:ascii="Times New Roman" w:hAnsi="Times New Roman"/>
          <w:kern w:val="2"/>
          <w:szCs w:val="24"/>
          <w:highlight w:val="yellow"/>
          <w:lang w:val="en-US" w:eastAsia="zh-CN"/>
        </w:rPr>
        <w:t>7</w:t>
      </w:r>
      <w:r>
        <w:rPr>
          <w:rFonts w:hint="eastAsia" w:ascii="Times New Roman" w:hAnsi="Times New Roman"/>
          <w:kern w:val="2"/>
          <w:szCs w:val="24"/>
          <w:highlight w:val="yellow"/>
        </w:rPr>
        <w:t>日17:00前，送或寄或发送电子邮件，联系地址：南通市启东生态环境监测站（以邮戳为准），联系人：沈先生，联系电话：0513-83252866，邮箱：514361830@qq.com。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4、拟定支付方式及期限：所有设备完成供货，完成安装调试并经采购单位验收合格后，凭启东市市场监督管理局出具的告知书（如有）和采购单位出具的验收合格单等相关证明材料，付至合同价的90%；余款从验收合格之日算起至一年服务期满后一次性付清。</w:t>
      </w:r>
    </w:p>
    <w:p>
      <w:pPr>
        <w:pStyle w:val="18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5、其他：⑴请报价单位认真核算、如实报价，如发现虚假报价的，报上级主管部门；⑵本次报价仅作为市场调研用，因此价格仅供参考；⑶本次调研询价不接收质疑函，只接收对本项目的建议。</w:t>
      </w:r>
    </w:p>
    <w:p>
      <w:pPr>
        <w:spacing w:line="360" w:lineRule="auto"/>
        <w:ind w:firstLine="5520" w:firstLineChars="23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5520" w:firstLineChars="23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南通市启东生态环境监测站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>
      <w:pPr>
        <w:spacing w:line="360" w:lineRule="auto"/>
        <w:ind w:firstLine="480"/>
        <w:jc w:val="right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202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sz w:val="32"/>
          <w:szCs w:val="32"/>
          <w:shd w:val="clear" w:color="auto" w:fill="FFFFFF"/>
        </w:rPr>
        <w:t>南通市启东生态环境监测站规范化能力建设（第三期扩充监测设备）项目</w:t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sz w:val="32"/>
          <w:szCs w:val="32"/>
          <w:shd w:val="clear" w:color="auto" w:fill="FFFFFF"/>
        </w:rPr>
        <w:t>报价表</w:t>
      </w:r>
    </w:p>
    <w:tbl>
      <w:tblPr>
        <w:tblStyle w:val="20"/>
        <w:tblpPr w:leftFromText="180" w:rightFromText="180" w:vertAnchor="page" w:horzAnchor="page" w:tblpX="1792" w:tblpY="3650"/>
        <w:tblOverlap w:val="never"/>
        <w:tblW w:w="85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267"/>
        <w:gridCol w:w="1158"/>
        <w:gridCol w:w="1158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方正仿宋_GBK" w:cs="Times New Roman"/>
                <w:sz w:val="24"/>
                <w:szCs w:val="24"/>
              </w:rPr>
              <w:t>便携式气相分子吸收光谱仪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方正仿宋_GBK" w:cs="Times New Roman"/>
                <w:sz w:val="24"/>
                <w:szCs w:val="24"/>
              </w:rPr>
              <w:t>便携水质自动分析仪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方正仿宋_GBK" w:cs="Times New Roman"/>
                <w:sz w:val="24"/>
                <w:szCs w:val="24"/>
              </w:rPr>
              <w:t>便携式重金属测定仪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方正仿宋_GBK" w:cs="Times New Roman"/>
                <w:sz w:val="24"/>
                <w:szCs w:val="24"/>
              </w:rPr>
              <w:t>电感耦合等离子体质谱仪ICP-MS(可车载)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（核心产品）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方正仿宋_GBK" w:cs="Times New Roman"/>
                <w:sz w:val="24"/>
                <w:szCs w:val="24"/>
              </w:rPr>
              <w:t>生物毒性检测仪</w:t>
            </w:r>
            <w:bookmarkStart w:id="1" w:name="_GoBack"/>
            <w:bookmarkEnd w:id="1"/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pStyle w:val="11"/>
        <w:spacing w:after="0" w:line="360" w:lineRule="auto"/>
        <w:rPr>
          <w:rFonts w:asciiTheme="minorEastAsia" w:hAnsiTheme="minorEastAsia" w:eastAsia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shd w:val="clear" w:color="auto" w:fill="FFFFFF"/>
        </w:rPr>
        <w:t>附营业执照</w:t>
      </w:r>
    </w:p>
    <w:p>
      <w:pPr>
        <w:pStyle w:val="11"/>
        <w:spacing w:after="0" w:line="360" w:lineRule="auto"/>
        <w:rPr>
          <w:rFonts w:asciiTheme="minorEastAsia" w:hAnsiTheme="minorEastAsia" w:eastAsiaTheme="minorEastAsia" w:cstheme="minorEastAsia"/>
          <w:kern w:val="2"/>
          <w:sz w:val="32"/>
          <w:szCs w:val="32"/>
          <w:shd w:val="clear" w:color="auto" w:fill="FFFFFF"/>
        </w:rPr>
      </w:pPr>
    </w:p>
    <w:p>
      <w:pPr>
        <w:pStyle w:val="11"/>
        <w:spacing w:after="0" w:line="360" w:lineRule="auto"/>
        <w:rPr>
          <w:rFonts w:asciiTheme="minorEastAsia" w:hAnsiTheme="minorEastAsia" w:eastAsia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shd w:val="clear" w:color="auto" w:fill="FFFFFF"/>
        </w:rPr>
        <w:t>报价单位（盖章）：</w:t>
      </w:r>
    </w:p>
    <w:p>
      <w:pPr>
        <w:spacing w:line="360" w:lineRule="auto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  <w:t>联系人：</w:t>
      </w:r>
    </w:p>
    <w:p>
      <w:pPr>
        <w:pStyle w:val="11"/>
        <w:spacing w:after="0" w:line="360" w:lineRule="auto"/>
        <w:rPr>
          <w:rFonts w:asciiTheme="minorEastAsia" w:hAnsiTheme="minorEastAsia" w:eastAsiaTheme="minorEastAsia" w:cstheme="minorEastAsia"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shd w:val="clear" w:color="auto" w:fill="FFFFFF"/>
        </w:rPr>
        <w:t>联系电话：</w:t>
      </w:r>
    </w:p>
    <w:p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1B0093-4DE2-4CF9-A3CD-F8946EDB99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4EFE66A-7F15-468B-8889-82123FF347C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8176D54-1E5A-454E-ADAD-332280C711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97ACE"/>
    <w:multiLevelType w:val="multilevel"/>
    <w:tmpl w:val="0AB97ACE"/>
    <w:lvl w:ilvl="0" w:tentative="0">
      <w:start w:val="1"/>
      <w:numFmt w:val="bullet"/>
      <w:lvlText w:val="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1">
    <w:nsid w:val="27A9449D"/>
    <w:multiLevelType w:val="multilevel"/>
    <w:tmpl w:val="27A9449D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064E0"/>
    <w:rsid w:val="000120DC"/>
    <w:rsid w:val="00017D04"/>
    <w:rsid w:val="000369F2"/>
    <w:rsid w:val="00137A68"/>
    <w:rsid w:val="00145659"/>
    <w:rsid w:val="00180314"/>
    <w:rsid w:val="001A0853"/>
    <w:rsid w:val="001B37BD"/>
    <w:rsid w:val="001B5724"/>
    <w:rsid w:val="001F7F52"/>
    <w:rsid w:val="00215B4D"/>
    <w:rsid w:val="0023679F"/>
    <w:rsid w:val="00295330"/>
    <w:rsid w:val="002A0876"/>
    <w:rsid w:val="002D694A"/>
    <w:rsid w:val="002E440A"/>
    <w:rsid w:val="002E564E"/>
    <w:rsid w:val="002E6386"/>
    <w:rsid w:val="00311DAC"/>
    <w:rsid w:val="0034394B"/>
    <w:rsid w:val="00383A98"/>
    <w:rsid w:val="00401700"/>
    <w:rsid w:val="004756EB"/>
    <w:rsid w:val="00495585"/>
    <w:rsid w:val="004C3B32"/>
    <w:rsid w:val="004F4F4A"/>
    <w:rsid w:val="00500838"/>
    <w:rsid w:val="005615DA"/>
    <w:rsid w:val="00573838"/>
    <w:rsid w:val="00596C9A"/>
    <w:rsid w:val="005B510F"/>
    <w:rsid w:val="005C700D"/>
    <w:rsid w:val="00620764"/>
    <w:rsid w:val="006404C9"/>
    <w:rsid w:val="007D419D"/>
    <w:rsid w:val="007E0EE4"/>
    <w:rsid w:val="008223BA"/>
    <w:rsid w:val="008A18D0"/>
    <w:rsid w:val="008E5996"/>
    <w:rsid w:val="008E7D58"/>
    <w:rsid w:val="00982253"/>
    <w:rsid w:val="009862D2"/>
    <w:rsid w:val="009F40A2"/>
    <w:rsid w:val="009F574F"/>
    <w:rsid w:val="00A617F2"/>
    <w:rsid w:val="00B23193"/>
    <w:rsid w:val="00B30C3D"/>
    <w:rsid w:val="00B86DAD"/>
    <w:rsid w:val="00B86FCB"/>
    <w:rsid w:val="00B97E9F"/>
    <w:rsid w:val="00BC1D19"/>
    <w:rsid w:val="00BD1C5A"/>
    <w:rsid w:val="00BD4640"/>
    <w:rsid w:val="00BE2430"/>
    <w:rsid w:val="00BF241B"/>
    <w:rsid w:val="00C14B91"/>
    <w:rsid w:val="00C541DA"/>
    <w:rsid w:val="00C84CA7"/>
    <w:rsid w:val="00CB3E84"/>
    <w:rsid w:val="00CE2C38"/>
    <w:rsid w:val="00CE500D"/>
    <w:rsid w:val="00CF73A0"/>
    <w:rsid w:val="00D50A04"/>
    <w:rsid w:val="00D51319"/>
    <w:rsid w:val="00DA509A"/>
    <w:rsid w:val="00DE397A"/>
    <w:rsid w:val="00E0503F"/>
    <w:rsid w:val="00E17841"/>
    <w:rsid w:val="00E332EF"/>
    <w:rsid w:val="00E36727"/>
    <w:rsid w:val="00E36B5B"/>
    <w:rsid w:val="00EC1B65"/>
    <w:rsid w:val="00ED39E6"/>
    <w:rsid w:val="00EF5C0A"/>
    <w:rsid w:val="00F03BB1"/>
    <w:rsid w:val="00F1509F"/>
    <w:rsid w:val="00F219F2"/>
    <w:rsid w:val="00F21CB7"/>
    <w:rsid w:val="00F57534"/>
    <w:rsid w:val="00F96819"/>
    <w:rsid w:val="00FB0A02"/>
    <w:rsid w:val="00FE25AC"/>
    <w:rsid w:val="00FE5F58"/>
    <w:rsid w:val="01213882"/>
    <w:rsid w:val="021B6F27"/>
    <w:rsid w:val="02664544"/>
    <w:rsid w:val="02B90350"/>
    <w:rsid w:val="0330435B"/>
    <w:rsid w:val="03566A31"/>
    <w:rsid w:val="035D3D0B"/>
    <w:rsid w:val="0448715B"/>
    <w:rsid w:val="046337FC"/>
    <w:rsid w:val="054D733B"/>
    <w:rsid w:val="05EA4F77"/>
    <w:rsid w:val="070924FF"/>
    <w:rsid w:val="08202AE5"/>
    <w:rsid w:val="0932487E"/>
    <w:rsid w:val="09AD03A9"/>
    <w:rsid w:val="09EF1A53"/>
    <w:rsid w:val="0A053D41"/>
    <w:rsid w:val="0A383E93"/>
    <w:rsid w:val="0AA96DC2"/>
    <w:rsid w:val="0B352404"/>
    <w:rsid w:val="0B507B40"/>
    <w:rsid w:val="0B951A25"/>
    <w:rsid w:val="0BA36998"/>
    <w:rsid w:val="0BD90538"/>
    <w:rsid w:val="0BF202F5"/>
    <w:rsid w:val="0C71390F"/>
    <w:rsid w:val="0C8C0749"/>
    <w:rsid w:val="0D3112F1"/>
    <w:rsid w:val="0D7506A7"/>
    <w:rsid w:val="0DB528E8"/>
    <w:rsid w:val="0DB8556E"/>
    <w:rsid w:val="0EDD34DE"/>
    <w:rsid w:val="0F5102E1"/>
    <w:rsid w:val="0FE443F8"/>
    <w:rsid w:val="10293E54"/>
    <w:rsid w:val="102E203C"/>
    <w:rsid w:val="107169EA"/>
    <w:rsid w:val="108217FC"/>
    <w:rsid w:val="11423ACC"/>
    <w:rsid w:val="1288061D"/>
    <w:rsid w:val="130E0083"/>
    <w:rsid w:val="13916645"/>
    <w:rsid w:val="13A463FB"/>
    <w:rsid w:val="13C84DAB"/>
    <w:rsid w:val="14214E0F"/>
    <w:rsid w:val="148F7029"/>
    <w:rsid w:val="14A23938"/>
    <w:rsid w:val="14BF0032"/>
    <w:rsid w:val="14FC0436"/>
    <w:rsid w:val="15035321"/>
    <w:rsid w:val="155F4841"/>
    <w:rsid w:val="157C0577"/>
    <w:rsid w:val="15E46F00"/>
    <w:rsid w:val="160142ED"/>
    <w:rsid w:val="16583648"/>
    <w:rsid w:val="16F07406"/>
    <w:rsid w:val="1776627E"/>
    <w:rsid w:val="18314603"/>
    <w:rsid w:val="18AB63FB"/>
    <w:rsid w:val="190B6E9A"/>
    <w:rsid w:val="193C7053"/>
    <w:rsid w:val="198D78AF"/>
    <w:rsid w:val="19A12AD2"/>
    <w:rsid w:val="1A136006"/>
    <w:rsid w:val="1A74631B"/>
    <w:rsid w:val="1AF35C55"/>
    <w:rsid w:val="1B1D4250"/>
    <w:rsid w:val="1B254F07"/>
    <w:rsid w:val="1B4474E1"/>
    <w:rsid w:val="1B830F69"/>
    <w:rsid w:val="1C077A18"/>
    <w:rsid w:val="1C5E5533"/>
    <w:rsid w:val="1C651DCF"/>
    <w:rsid w:val="1C683FA7"/>
    <w:rsid w:val="1C9E19D9"/>
    <w:rsid w:val="1CA1517C"/>
    <w:rsid w:val="1CC9439F"/>
    <w:rsid w:val="1DA653E3"/>
    <w:rsid w:val="1DCE71A7"/>
    <w:rsid w:val="1EC441A4"/>
    <w:rsid w:val="1ECC360E"/>
    <w:rsid w:val="1F3D6340"/>
    <w:rsid w:val="200A3A07"/>
    <w:rsid w:val="211D3A51"/>
    <w:rsid w:val="216D06F2"/>
    <w:rsid w:val="218C1774"/>
    <w:rsid w:val="222334A6"/>
    <w:rsid w:val="23356FED"/>
    <w:rsid w:val="235A2EF8"/>
    <w:rsid w:val="235F5FD0"/>
    <w:rsid w:val="238938A1"/>
    <w:rsid w:val="24080038"/>
    <w:rsid w:val="242664D7"/>
    <w:rsid w:val="256E4A38"/>
    <w:rsid w:val="26FE3B9A"/>
    <w:rsid w:val="27AE4F55"/>
    <w:rsid w:val="27D32EF7"/>
    <w:rsid w:val="286D7229"/>
    <w:rsid w:val="29001E4B"/>
    <w:rsid w:val="291B42C9"/>
    <w:rsid w:val="293D22C4"/>
    <w:rsid w:val="295C39EB"/>
    <w:rsid w:val="29A40E8F"/>
    <w:rsid w:val="29B03871"/>
    <w:rsid w:val="29D335AD"/>
    <w:rsid w:val="2AB83733"/>
    <w:rsid w:val="2B0C2C48"/>
    <w:rsid w:val="2B4A32E9"/>
    <w:rsid w:val="2B920D55"/>
    <w:rsid w:val="2C0734F1"/>
    <w:rsid w:val="2C357E1F"/>
    <w:rsid w:val="2CD5539D"/>
    <w:rsid w:val="2D4A7B39"/>
    <w:rsid w:val="2EA15273"/>
    <w:rsid w:val="2EC706F7"/>
    <w:rsid w:val="305D3488"/>
    <w:rsid w:val="307C26FF"/>
    <w:rsid w:val="307E4CE9"/>
    <w:rsid w:val="30C419B0"/>
    <w:rsid w:val="30F77FD8"/>
    <w:rsid w:val="311345EC"/>
    <w:rsid w:val="31381208"/>
    <w:rsid w:val="31562CFE"/>
    <w:rsid w:val="31AA0A84"/>
    <w:rsid w:val="31F767B3"/>
    <w:rsid w:val="326351F9"/>
    <w:rsid w:val="32EA3795"/>
    <w:rsid w:val="33AD7074"/>
    <w:rsid w:val="33C87A09"/>
    <w:rsid w:val="33D6447B"/>
    <w:rsid w:val="348B49DE"/>
    <w:rsid w:val="34AB35F2"/>
    <w:rsid w:val="34BF3FDB"/>
    <w:rsid w:val="34F65359"/>
    <w:rsid w:val="35755789"/>
    <w:rsid w:val="35A65B28"/>
    <w:rsid w:val="360311CD"/>
    <w:rsid w:val="36930523"/>
    <w:rsid w:val="36F328CD"/>
    <w:rsid w:val="37971BCD"/>
    <w:rsid w:val="37C55F0F"/>
    <w:rsid w:val="37E1553E"/>
    <w:rsid w:val="38A26A7B"/>
    <w:rsid w:val="39C05C8E"/>
    <w:rsid w:val="39F01A68"/>
    <w:rsid w:val="3A614714"/>
    <w:rsid w:val="3A6A03E3"/>
    <w:rsid w:val="3A993EAE"/>
    <w:rsid w:val="3B0E7411"/>
    <w:rsid w:val="3B451940"/>
    <w:rsid w:val="3BD123D9"/>
    <w:rsid w:val="3C2E0626"/>
    <w:rsid w:val="3D212820"/>
    <w:rsid w:val="3D614D46"/>
    <w:rsid w:val="3DB10D89"/>
    <w:rsid w:val="3E1F2A71"/>
    <w:rsid w:val="3E6B3DB3"/>
    <w:rsid w:val="3FE71217"/>
    <w:rsid w:val="40356CCC"/>
    <w:rsid w:val="40D02AF3"/>
    <w:rsid w:val="41281B57"/>
    <w:rsid w:val="41986C6D"/>
    <w:rsid w:val="41B33AA7"/>
    <w:rsid w:val="42FC76D0"/>
    <w:rsid w:val="43076734"/>
    <w:rsid w:val="437C581A"/>
    <w:rsid w:val="43993170"/>
    <w:rsid w:val="43AF64F0"/>
    <w:rsid w:val="448E4357"/>
    <w:rsid w:val="451E1B7F"/>
    <w:rsid w:val="45857895"/>
    <w:rsid w:val="45BB497D"/>
    <w:rsid w:val="45E74C13"/>
    <w:rsid w:val="46010751"/>
    <w:rsid w:val="46294959"/>
    <w:rsid w:val="4632038F"/>
    <w:rsid w:val="4657693C"/>
    <w:rsid w:val="467D0B27"/>
    <w:rsid w:val="47066A1D"/>
    <w:rsid w:val="47857C94"/>
    <w:rsid w:val="483658F6"/>
    <w:rsid w:val="484D05AF"/>
    <w:rsid w:val="487D639A"/>
    <w:rsid w:val="48CB3DCC"/>
    <w:rsid w:val="48FA7BF0"/>
    <w:rsid w:val="49121BEA"/>
    <w:rsid w:val="495140F2"/>
    <w:rsid w:val="496164DE"/>
    <w:rsid w:val="49C76CAB"/>
    <w:rsid w:val="4B50324F"/>
    <w:rsid w:val="4B610403"/>
    <w:rsid w:val="4B6719A2"/>
    <w:rsid w:val="4C6F0237"/>
    <w:rsid w:val="4C721578"/>
    <w:rsid w:val="4C910E89"/>
    <w:rsid w:val="4D275349"/>
    <w:rsid w:val="4D7221B5"/>
    <w:rsid w:val="4D7A2CA7"/>
    <w:rsid w:val="4D861753"/>
    <w:rsid w:val="4D9F1383"/>
    <w:rsid w:val="4D9F759E"/>
    <w:rsid w:val="4E2C6806"/>
    <w:rsid w:val="4E6C1FEA"/>
    <w:rsid w:val="50010D46"/>
    <w:rsid w:val="50E27F05"/>
    <w:rsid w:val="51D05FAF"/>
    <w:rsid w:val="52370B11"/>
    <w:rsid w:val="5248342C"/>
    <w:rsid w:val="52632A25"/>
    <w:rsid w:val="52F757BE"/>
    <w:rsid w:val="53486019"/>
    <w:rsid w:val="536966BB"/>
    <w:rsid w:val="54AF45A2"/>
    <w:rsid w:val="554E7420"/>
    <w:rsid w:val="55FD5A0D"/>
    <w:rsid w:val="56DB78D0"/>
    <w:rsid w:val="57941E1C"/>
    <w:rsid w:val="57FF7D17"/>
    <w:rsid w:val="5806097D"/>
    <w:rsid w:val="581C1EE8"/>
    <w:rsid w:val="581E3FA7"/>
    <w:rsid w:val="586743E3"/>
    <w:rsid w:val="587A159C"/>
    <w:rsid w:val="58A843CB"/>
    <w:rsid w:val="58DF760E"/>
    <w:rsid w:val="5915074C"/>
    <w:rsid w:val="59170968"/>
    <w:rsid w:val="59330745"/>
    <w:rsid w:val="595B5175"/>
    <w:rsid w:val="597F5032"/>
    <w:rsid w:val="59B120AB"/>
    <w:rsid w:val="5B124A58"/>
    <w:rsid w:val="5C311D40"/>
    <w:rsid w:val="5C9546B7"/>
    <w:rsid w:val="5CFA4BA6"/>
    <w:rsid w:val="5D0B4022"/>
    <w:rsid w:val="5D496DBF"/>
    <w:rsid w:val="5D8F082D"/>
    <w:rsid w:val="5DA046A0"/>
    <w:rsid w:val="5DA87473"/>
    <w:rsid w:val="5DC13151"/>
    <w:rsid w:val="5DFA3980"/>
    <w:rsid w:val="5E1862CF"/>
    <w:rsid w:val="5E8E347A"/>
    <w:rsid w:val="5E8F2D4E"/>
    <w:rsid w:val="5EB033A1"/>
    <w:rsid w:val="5EB56C59"/>
    <w:rsid w:val="5F0C439F"/>
    <w:rsid w:val="5F7F1015"/>
    <w:rsid w:val="6043282E"/>
    <w:rsid w:val="609108AB"/>
    <w:rsid w:val="610405E7"/>
    <w:rsid w:val="614F7FD9"/>
    <w:rsid w:val="61706974"/>
    <w:rsid w:val="61D52C5F"/>
    <w:rsid w:val="61D64DD0"/>
    <w:rsid w:val="62113437"/>
    <w:rsid w:val="625E7607"/>
    <w:rsid w:val="63161C64"/>
    <w:rsid w:val="63343EC4"/>
    <w:rsid w:val="644665A5"/>
    <w:rsid w:val="6451655B"/>
    <w:rsid w:val="6457430E"/>
    <w:rsid w:val="64654C7D"/>
    <w:rsid w:val="64801EFA"/>
    <w:rsid w:val="648C220A"/>
    <w:rsid w:val="64D43BB1"/>
    <w:rsid w:val="657C1BAC"/>
    <w:rsid w:val="660973BB"/>
    <w:rsid w:val="672A0689"/>
    <w:rsid w:val="674F5770"/>
    <w:rsid w:val="678E44EB"/>
    <w:rsid w:val="68046A6D"/>
    <w:rsid w:val="68164CDF"/>
    <w:rsid w:val="687D052C"/>
    <w:rsid w:val="68801F06"/>
    <w:rsid w:val="688D02FE"/>
    <w:rsid w:val="69353554"/>
    <w:rsid w:val="697B45FB"/>
    <w:rsid w:val="6BDF75DB"/>
    <w:rsid w:val="6BF04907"/>
    <w:rsid w:val="6CB247D7"/>
    <w:rsid w:val="6D8E6033"/>
    <w:rsid w:val="6D9E74AD"/>
    <w:rsid w:val="6E641B01"/>
    <w:rsid w:val="6EBF1CCD"/>
    <w:rsid w:val="6F5B6D78"/>
    <w:rsid w:val="6FBD5AE6"/>
    <w:rsid w:val="6FD66A2F"/>
    <w:rsid w:val="6FDF4DD7"/>
    <w:rsid w:val="7078466A"/>
    <w:rsid w:val="707E4338"/>
    <w:rsid w:val="708E10B8"/>
    <w:rsid w:val="70F73101"/>
    <w:rsid w:val="70F8420D"/>
    <w:rsid w:val="71F326B3"/>
    <w:rsid w:val="727E5E54"/>
    <w:rsid w:val="72AC1CC9"/>
    <w:rsid w:val="72B64306"/>
    <w:rsid w:val="72C07522"/>
    <w:rsid w:val="731F4041"/>
    <w:rsid w:val="7365626F"/>
    <w:rsid w:val="73727BB8"/>
    <w:rsid w:val="737D5461"/>
    <w:rsid w:val="738505EC"/>
    <w:rsid w:val="73A52518"/>
    <w:rsid w:val="74A62DC1"/>
    <w:rsid w:val="750A2372"/>
    <w:rsid w:val="756F3EAF"/>
    <w:rsid w:val="76774D44"/>
    <w:rsid w:val="768C502E"/>
    <w:rsid w:val="783027B5"/>
    <w:rsid w:val="78883343"/>
    <w:rsid w:val="78B76110"/>
    <w:rsid w:val="78E5724B"/>
    <w:rsid w:val="79A100AE"/>
    <w:rsid w:val="79C20308"/>
    <w:rsid w:val="7A2A69EA"/>
    <w:rsid w:val="7A4F1871"/>
    <w:rsid w:val="7A9674E6"/>
    <w:rsid w:val="7B430CF1"/>
    <w:rsid w:val="7B473D7F"/>
    <w:rsid w:val="7B5B24DE"/>
    <w:rsid w:val="7B626DE3"/>
    <w:rsid w:val="7B7B492E"/>
    <w:rsid w:val="7BDD38E4"/>
    <w:rsid w:val="7C4D1E27"/>
    <w:rsid w:val="7D341239"/>
    <w:rsid w:val="7D3445AB"/>
    <w:rsid w:val="7D802572"/>
    <w:rsid w:val="7DDB3462"/>
    <w:rsid w:val="7DED1CD4"/>
    <w:rsid w:val="7E1437E9"/>
    <w:rsid w:val="7E5C0773"/>
    <w:rsid w:val="7E66206B"/>
    <w:rsid w:val="7EA20405"/>
    <w:rsid w:val="7EBC7738"/>
    <w:rsid w:val="7EE36A72"/>
    <w:rsid w:val="7F066102"/>
    <w:rsid w:val="7F0D7F93"/>
    <w:rsid w:val="7F254A59"/>
    <w:rsid w:val="7FA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left="578" w:hanging="578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pacing w:line="360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unhideWhenUsed/>
    <w:qFormat/>
    <w:uiPriority w:val="9"/>
    <w:pPr>
      <w:keepNext/>
      <w:keepLines/>
      <w:numPr>
        <w:ilvl w:val="3"/>
        <w:numId w:val="1"/>
      </w:numPr>
      <w:spacing w:line="360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  <w:szCs w:val="20"/>
    </w:rPr>
  </w:style>
  <w:style w:type="paragraph" w:styleId="7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8">
    <w:name w:val="Normal Indent"/>
    <w:basedOn w:val="1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9">
    <w:name w:val="index 5"/>
    <w:basedOn w:val="1"/>
    <w:next w:val="1"/>
    <w:autoRedefine/>
    <w:unhideWhenUsed/>
    <w:qFormat/>
    <w:uiPriority w:val="99"/>
    <w:pPr>
      <w:ind w:left="1050" w:hanging="210" w:firstLineChars="200"/>
      <w:jc w:val="left"/>
    </w:pPr>
    <w:rPr>
      <w:sz w:val="18"/>
      <w:szCs w:val="18"/>
      <w:lang w:eastAsia="zh-TW"/>
    </w:rPr>
  </w:style>
  <w:style w:type="paragraph" w:styleId="10">
    <w:name w:val="annotation text"/>
    <w:basedOn w:val="1"/>
    <w:autoRedefine/>
    <w:qFormat/>
    <w:uiPriority w:val="0"/>
    <w:pPr>
      <w:jc w:val="left"/>
    </w:pPr>
  </w:style>
  <w:style w:type="paragraph" w:styleId="11">
    <w:name w:val="Body Text"/>
    <w:basedOn w:val="1"/>
    <w:autoRedefine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1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3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Times New Roman" w:hAnsi="Times New Roman" w:eastAsia="宋体" w:cs="Times New Roman"/>
    </w:rPr>
  </w:style>
  <w:style w:type="paragraph" w:styleId="14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next w:val="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7">
    <w:name w:val="Message Header"/>
    <w:basedOn w:val="1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8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19">
    <w:name w:val="Body Text First Indent 2"/>
    <w:basedOn w:val="12"/>
    <w:autoRedefine/>
    <w:qFormat/>
    <w:uiPriority w:val="99"/>
    <w:pPr>
      <w:ind w:firstLine="420" w:firstLineChars="200"/>
    </w:pPr>
  </w:style>
  <w:style w:type="table" w:styleId="21">
    <w:name w:val="Table Grid"/>
    <w:basedOn w:val="2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页眉 字符"/>
    <w:basedOn w:val="22"/>
    <w:link w:val="15"/>
    <w:autoRedefine/>
    <w:qFormat/>
    <w:uiPriority w:val="99"/>
    <w:rPr>
      <w:sz w:val="18"/>
      <w:szCs w:val="18"/>
    </w:rPr>
  </w:style>
  <w:style w:type="character" w:customStyle="1" w:styleId="24">
    <w:name w:val="页脚 字符"/>
    <w:basedOn w:val="22"/>
    <w:link w:val="14"/>
    <w:autoRedefine/>
    <w:qFormat/>
    <w:uiPriority w:val="99"/>
    <w:rPr>
      <w:sz w:val="18"/>
      <w:szCs w:val="18"/>
    </w:rPr>
  </w:style>
  <w:style w:type="character" w:customStyle="1" w:styleId="25">
    <w:name w:val="font7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11"/>
    <w:basedOn w:val="22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27">
    <w:name w:val="表格文字"/>
    <w:basedOn w:val="12"/>
    <w:next w:val="11"/>
    <w:autoRedefine/>
    <w:qFormat/>
    <w:uiPriority w:val="0"/>
    <w:pPr>
      <w:spacing w:before="60" w:after="60"/>
      <w:ind w:left="0" w:leftChars="0"/>
    </w:pPr>
    <w:rPr>
      <w:sz w:val="24"/>
    </w:rPr>
  </w:style>
  <w:style w:type="character" w:customStyle="1" w:styleId="28">
    <w:name w:val="font5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31"/>
    <w:basedOn w:val="22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0">
    <w:name w:val="font01"/>
    <w:basedOn w:val="22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样式1"/>
    <w:basedOn w:val="1"/>
    <w:autoRedefine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1388</Words>
  <Characters>7918</Characters>
  <Lines>65</Lines>
  <Paragraphs>18</Paragraphs>
  <TotalTime>2</TotalTime>
  <ScaleCrop>false</ScaleCrop>
  <LinksUpToDate>false</LinksUpToDate>
  <CharactersWithSpaces>9288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2022-08-23T03:20:00Z</dcterms:created>
  <dc:creator>wang</dc:creator>
  <cp:lastModifiedBy>9877</cp:lastModifiedBy>
  <cp:lastPrinted>2023-09-04T03:22:00Z</cp:lastPrinted>
  <dcterms:modified xsi:type="dcterms:W3CDTF">2024-05-11T01:02:29Z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64AF9E7FD8BF4E699D97B5A6E107D714_13</vt:lpwstr>
  </property>
</Properties>
</file>