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val="0"/>
        <w:kinsoku/>
        <w:wordWrap/>
        <w:overflowPunct w:val="0"/>
        <w:topLinePunct/>
        <w:bidi w:val="0"/>
        <w:adjustRightInd/>
        <w:spacing w:line="590" w:lineRule="exact"/>
        <w:ind w:left="0" w:leftChars="0" w:firstLine="0" w:firstLineChars="0"/>
        <w:jc w:val="center"/>
        <w:textAlignment w:val="auto"/>
        <w:rPr>
          <w:rFonts w:ascii="Times New Roman" w:hAnsi="Times New Roman"/>
          <w:u w:color="FFFFFF" w:themeColor="background1"/>
        </w:rPr>
      </w:pPr>
    </w:p>
    <w:p>
      <w:pPr>
        <w:keepNext w:val="0"/>
        <w:keepLines w:val="0"/>
        <w:pageBreakBefore w:val="0"/>
        <w:widowControl w:val="0"/>
        <w:kinsoku/>
        <w:wordWrap/>
        <w:overflowPunct w:val="0"/>
        <w:topLinePunct/>
        <w:autoSpaceDE w:val="0"/>
        <w:autoSpaceDN w:val="0"/>
        <w:bidi w:val="0"/>
        <w:adjustRightInd/>
        <w:snapToGrid w:val="0"/>
        <w:spacing w:line="590" w:lineRule="exact"/>
        <w:ind w:left="0" w:leftChars="0" w:firstLine="0" w:firstLineChars="0"/>
        <w:jc w:val="center"/>
        <w:textAlignment w:val="auto"/>
        <w:rPr>
          <w:rFonts w:ascii="Times New Roman" w:hAnsi="Times New Roman" w:eastAsia="方正小标宋简体" w:cs="Times New Roman"/>
          <w:snapToGrid w:val="0"/>
          <w:kern w:val="0"/>
          <w:sz w:val="44"/>
          <w:szCs w:val="44"/>
        </w:rPr>
      </w:pPr>
      <w:r>
        <w:rPr>
          <w:rFonts w:hint="eastAsia" w:ascii="Times New Roman" w:hAnsi="Times New Roman" w:eastAsia="方正小标宋简体" w:cs="Times New Roman"/>
          <w:snapToGrid w:val="0"/>
          <w:kern w:val="0"/>
          <w:sz w:val="44"/>
          <w:szCs w:val="44"/>
        </w:rPr>
        <w:t>启东市市级产业转型升级</w:t>
      </w:r>
      <w:r>
        <w:rPr>
          <w:rFonts w:ascii="Times New Roman" w:hAnsi="Times New Roman" w:eastAsia="方正小标宋简体" w:cs="Times New Roman"/>
          <w:snapToGrid w:val="0"/>
          <w:kern w:val="0"/>
          <w:sz w:val="44"/>
          <w:szCs w:val="44"/>
        </w:rPr>
        <w:t>专项资金</w:t>
      </w:r>
    </w:p>
    <w:p>
      <w:pPr>
        <w:keepNext w:val="0"/>
        <w:keepLines w:val="0"/>
        <w:pageBreakBefore w:val="0"/>
        <w:widowControl w:val="0"/>
        <w:kinsoku/>
        <w:wordWrap/>
        <w:overflowPunct w:val="0"/>
        <w:topLinePunct/>
        <w:autoSpaceDE w:val="0"/>
        <w:autoSpaceDN w:val="0"/>
        <w:bidi w:val="0"/>
        <w:adjustRightInd/>
        <w:snapToGrid w:val="0"/>
        <w:spacing w:line="590" w:lineRule="exact"/>
        <w:ind w:left="0" w:leftChars="0" w:firstLine="0" w:firstLineChars="0"/>
        <w:jc w:val="center"/>
        <w:textAlignment w:val="auto"/>
        <w:rPr>
          <w:rFonts w:ascii="Times New Roman" w:hAnsi="Times New Roman" w:eastAsia="方正小标宋简体" w:cs="Times New Roman"/>
          <w:snapToGrid w:val="0"/>
          <w:kern w:val="0"/>
          <w:sz w:val="44"/>
          <w:szCs w:val="44"/>
        </w:rPr>
      </w:pPr>
      <w:r>
        <w:rPr>
          <w:rFonts w:ascii="Times New Roman" w:hAnsi="Times New Roman" w:eastAsia="方正小标宋简体" w:cs="Times New Roman"/>
          <w:snapToGrid w:val="0"/>
          <w:kern w:val="0"/>
          <w:sz w:val="44"/>
          <w:szCs w:val="44"/>
        </w:rPr>
        <w:t>管理办法</w:t>
      </w:r>
    </w:p>
    <w:p>
      <w:pPr>
        <w:pStyle w:val="5"/>
        <w:keepNext w:val="0"/>
        <w:keepLines w:val="0"/>
        <w:pageBreakBefore w:val="0"/>
        <w:widowControl w:val="0"/>
        <w:kinsoku/>
        <w:wordWrap/>
        <w:overflowPunct w:val="0"/>
        <w:topLinePunct/>
        <w:bidi w:val="0"/>
        <w:adjustRightInd/>
        <w:spacing w:line="590" w:lineRule="exact"/>
        <w:ind w:left="0" w:leftChars="0" w:firstLine="0" w:firstLineChars="0"/>
        <w:jc w:val="center"/>
        <w:textAlignment w:val="auto"/>
        <w:rPr>
          <w:rFonts w:ascii="Times New Roman" w:hAnsi="Times New Roman"/>
          <w:u w:color="FFFFFF" w:themeColor="background1"/>
        </w:rPr>
      </w:pPr>
      <w:r>
        <w:rPr>
          <w:rFonts w:hint="eastAsia" w:ascii="Times New Roman" w:hAnsi="Times New Roman"/>
          <w:u w:color="FFFFFF" w:themeColor="background1"/>
        </w:rPr>
        <w:t>（征求意见稿）</w:t>
      </w:r>
    </w:p>
    <w:p>
      <w:pPr>
        <w:pStyle w:val="5"/>
        <w:keepNext w:val="0"/>
        <w:keepLines w:val="0"/>
        <w:pageBreakBefore w:val="0"/>
        <w:widowControl w:val="0"/>
        <w:kinsoku/>
        <w:wordWrap/>
        <w:overflowPunct w:val="0"/>
        <w:topLinePunct/>
        <w:bidi w:val="0"/>
        <w:adjustRightInd/>
        <w:spacing w:line="590" w:lineRule="exact"/>
        <w:textAlignment w:val="auto"/>
        <w:rPr>
          <w:rFonts w:ascii="Times New Roman" w:hAnsi="Times New Roman"/>
        </w:rPr>
      </w:pPr>
    </w:p>
    <w:p>
      <w:pPr>
        <w:pStyle w:val="5"/>
        <w:keepNext w:val="0"/>
        <w:keepLines w:val="0"/>
        <w:pageBreakBefore w:val="0"/>
        <w:widowControl w:val="0"/>
        <w:kinsoku/>
        <w:wordWrap/>
        <w:overflowPunct w:val="0"/>
        <w:topLinePunct/>
        <w:autoSpaceDE/>
        <w:autoSpaceDN/>
        <w:bidi w:val="0"/>
        <w:adjustRightInd/>
        <w:snapToGrid/>
        <w:spacing w:line="590" w:lineRule="exact"/>
        <w:ind w:firstLine="0" w:firstLineChars="0"/>
        <w:jc w:val="center"/>
        <w:textAlignment w:val="auto"/>
        <w:rPr>
          <w:rFonts w:hint="eastAsia" w:ascii="Times New Roman" w:hAnsi="Times New Roman" w:eastAsia="黑体" w:cs="黑体"/>
          <w:b w:val="0"/>
          <w:bCs w:val="0"/>
          <w:sz w:val="32"/>
          <w:szCs w:val="32"/>
          <w:highlight w:val="none"/>
        </w:rPr>
      </w:pPr>
      <w:r>
        <w:rPr>
          <w:rFonts w:hint="eastAsia" w:ascii="Times New Roman" w:hAnsi="Times New Roman" w:eastAsia="黑体" w:cs="黑体"/>
          <w:b w:val="0"/>
          <w:bCs w:val="0"/>
          <w:sz w:val="32"/>
          <w:szCs w:val="32"/>
          <w:highlight w:val="none"/>
        </w:rPr>
        <w:t>第一章</w:t>
      </w:r>
      <w:r>
        <w:rPr>
          <w:rFonts w:hint="eastAsia" w:ascii="Times New Roman" w:hAnsi="Times New Roman" w:eastAsia="黑体" w:cs="黑体"/>
          <w:b w:val="0"/>
          <w:bCs w:val="0"/>
          <w:sz w:val="32"/>
          <w:szCs w:val="32"/>
          <w:highlight w:val="none"/>
          <w:lang w:eastAsia="zh-CN"/>
        </w:rPr>
        <w:t>　</w:t>
      </w:r>
      <w:r>
        <w:rPr>
          <w:rFonts w:hint="eastAsia" w:ascii="Times New Roman" w:hAnsi="Times New Roman" w:eastAsia="黑体" w:cs="黑体"/>
          <w:b w:val="0"/>
          <w:bCs w:val="0"/>
          <w:sz w:val="32"/>
          <w:szCs w:val="32"/>
          <w:highlight w:val="none"/>
        </w:rPr>
        <w:t>总</w:t>
      </w:r>
      <w:r>
        <w:rPr>
          <w:rFonts w:hint="eastAsia" w:ascii="Times New Roman" w:hAnsi="Times New Roman" w:eastAsia="黑体" w:cs="黑体"/>
          <w:b w:val="0"/>
          <w:bCs w:val="0"/>
          <w:sz w:val="32"/>
          <w:szCs w:val="32"/>
          <w:highlight w:val="none"/>
          <w:lang w:eastAsia="zh-CN"/>
        </w:rPr>
        <w:t>　</w:t>
      </w:r>
      <w:r>
        <w:rPr>
          <w:rFonts w:hint="eastAsia" w:ascii="Times New Roman" w:hAnsi="Times New Roman" w:eastAsia="黑体" w:cs="黑体"/>
          <w:b w:val="0"/>
          <w:bCs w:val="0"/>
          <w:sz w:val="32"/>
          <w:szCs w:val="32"/>
          <w:highlight w:val="none"/>
        </w:rPr>
        <w:t>则</w:t>
      </w:r>
    </w:p>
    <w:p>
      <w:pPr>
        <w:pStyle w:val="5"/>
        <w:keepNext w:val="0"/>
        <w:keepLines w:val="0"/>
        <w:pageBreakBefore w:val="0"/>
        <w:widowControl w:val="0"/>
        <w:kinsoku/>
        <w:wordWrap/>
        <w:overflowPunct w:val="0"/>
        <w:topLinePunct/>
        <w:autoSpaceDE/>
        <w:autoSpaceDN/>
        <w:bidi w:val="0"/>
        <w:adjustRightInd/>
        <w:snapToGrid/>
        <w:spacing w:line="590" w:lineRule="exact"/>
        <w:ind w:firstLine="640" w:firstLineChars="200"/>
        <w:jc w:val="both"/>
        <w:textAlignment w:val="auto"/>
        <w:rPr>
          <w:rFonts w:hint="eastAsia" w:ascii="Times New Roman" w:hAnsi="Times New Roman" w:eastAsia="仿宋_GB2312" w:cs="仿宋_GB2312"/>
          <w:sz w:val="32"/>
          <w:szCs w:val="32"/>
          <w:highlight w:val="none"/>
          <w:u w:color="FFFFFF" w:themeColor="background1"/>
        </w:rPr>
      </w:pPr>
      <w:r>
        <w:rPr>
          <w:rFonts w:hint="eastAsia" w:ascii="Times New Roman" w:hAnsi="Times New Roman" w:eastAsia="楷体_GB2312" w:cs="楷体_GB2312"/>
          <w:b w:val="0"/>
          <w:bCs w:val="0"/>
          <w:sz w:val="32"/>
          <w:szCs w:val="32"/>
          <w:highlight w:val="none"/>
        </w:rPr>
        <w:t>第一条</w:t>
      </w:r>
      <w:r>
        <w:rPr>
          <w:rFonts w:hint="eastAsia" w:ascii="Times New Roman" w:hAnsi="Times New Roman" w:eastAsia="仿宋_GB2312" w:cs="仿宋_GB2312"/>
          <w:sz w:val="32"/>
          <w:szCs w:val="32"/>
          <w:highlight w:val="none"/>
          <w:lang w:eastAsia="zh-CN"/>
        </w:rPr>
        <w:t>　</w:t>
      </w:r>
      <w:r>
        <w:rPr>
          <w:rFonts w:hint="eastAsia" w:ascii="Times New Roman" w:hAnsi="Times New Roman" w:eastAsia="仿宋_GB2312" w:cs="仿宋_GB2312"/>
          <w:sz w:val="32"/>
          <w:szCs w:val="32"/>
          <w:highlight w:val="none"/>
          <w:u w:color="FFFFFF" w:themeColor="background1"/>
        </w:rPr>
        <w:t>为规范启东市产业转型升级专项资金（以下简称专项资金）管理，加快专项资金执行进度，提高专项资金使用效益，根据《中华人民共和国预算法》《江苏省财政监督条例》《启东市市级财政专项资金管理办法》等法律、法规和相关文件规定，结合本市实际，制定本办法。</w:t>
      </w:r>
    </w:p>
    <w:p>
      <w:pPr>
        <w:pStyle w:val="5"/>
        <w:keepNext w:val="0"/>
        <w:keepLines w:val="0"/>
        <w:pageBreakBefore w:val="0"/>
        <w:widowControl w:val="0"/>
        <w:kinsoku/>
        <w:wordWrap/>
        <w:overflowPunct w:val="0"/>
        <w:topLinePunct/>
        <w:autoSpaceDE/>
        <w:autoSpaceDN/>
        <w:bidi w:val="0"/>
        <w:adjustRightInd/>
        <w:snapToGrid/>
        <w:spacing w:line="590" w:lineRule="exact"/>
        <w:ind w:firstLine="640" w:firstLineChars="200"/>
        <w:jc w:val="both"/>
        <w:textAlignment w:val="auto"/>
        <w:rPr>
          <w:rFonts w:hint="eastAsia" w:ascii="Times New Roman" w:hAnsi="Times New Roman" w:eastAsia="仿宋_GB2312" w:cs="仿宋_GB2312"/>
          <w:sz w:val="32"/>
          <w:szCs w:val="32"/>
          <w:highlight w:val="none"/>
          <w:shd w:val="clear" w:color="auto" w:fill="FFFFFF"/>
        </w:rPr>
      </w:pPr>
      <w:r>
        <w:rPr>
          <w:rFonts w:hint="eastAsia" w:ascii="Times New Roman" w:hAnsi="Times New Roman" w:eastAsia="楷体_GB2312" w:cs="楷体_GB2312"/>
          <w:b w:val="0"/>
          <w:bCs w:val="0"/>
          <w:sz w:val="32"/>
          <w:szCs w:val="32"/>
          <w:highlight w:val="none"/>
        </w:rPr>
        <w:t>第二条</w:t>
      </w:r>
      <w:r>
        <w:rPr>
          <w:rFonts w:hint="eastAsia" w:ascii="Times New Roman" w:hAnsi="Times New Roman" w:eastAsia="仿宋_GB2312" w:cs="仿宋_GB2312"/>
          <w:sz w:val="32"/>
          <w:szCs w:val="32"/>
          <w:highlight w:val="none"/>
          <w:u w:color="FFFFFF" w:themeColor="background1"/>
          <w:lang w:eastAsia="zh-CN"/>
        </w:rPr>
        <w:t>　</w:t>
      </w:r>
      <w:r>
        <w:rPr>
          <w:rFonts w:hint="eastAsia" w:ascii="Times New Roman" w:hAnsi="Times New Roman" w:eastAsia="仿宋_GB2312" w:cs="仿宋_GB2312"/>
          <w:sz w:val="32"/>
          <w:szCs w:val="32"/>
          <w:highlight w:val="none"/>
          <w:u w:color="FFFFFF" w:themeColor="background1"/>
        </w:rPr>
        <w:t>本办法所称专项资金是指纳入市级财政预算管理，专项用于本市先进制造业发展、服务业创新集聚、科技创新、商务转型升级、市场监管、金融支持产业发展、建筑业高质量发展等方面的政府性引导资金。</w:t>
      </w:r>
    </w:p>
    <w:p>
      <w:pPr>
        <w:keepNext w:val="0"/>
        <w:keepLines w:val="0"/>
        <w:pageBreakBefore w:val="0"/>
        <w:widowControl w:val="0"/>
        <w:kinsoku/>
        <w:wordWrap/>
        <w:overflowPunct w:val="0"/>
        <w:topLinePunct/>
        <w:autoSpaceDE/>
        <w:autoSpaceDN/>
        <w:bidi w:val="0"/>
        <w:adjustRightInd/>
        <w:snapToGrid/>
        <w:spacing w:line="590" w:lineRule="exact"/>
        <w:ind w:firstLine="640" w:firstLineChars="200"/>
        <w:jc w:val="both"/>
        <w:textAlignment w:val="auto"/>
        <w:rPr>
          <w:rFonts w:hint="eastAsia" w:ascii="Times New Roman" w:hAnsi="Times New Roman" w:eastAsia="仿宋_GB2312" w:cs="仿宋_GB2312"/>
          <w:kern w:val="0"/>
          <w:sz w:val="32"/>
          <w:szCs w:val="32"/>
          <w:highlight w:val="none"/>
          <w:u w:val="single" w:color="FFFFFF" w:themeColor="background1"/>
        </w:rPr>
      </w:pPr>
      <w:r>
        <w:rPr>
          <w:rFonts w:hint="eastAsia" w:ascii="Times New Roman" w:hAnsi="Times New Roman" w:eastAsia="仿宋_GB2312" w:cs="仿宋_GB2312"/>
          <w:kern w:val="0"/>
          <w:sz w:val="32"/>
          <w:szCs w:val="32"/>
          <w:highlight w:val="none"/>
          <w:u w:val="single" w:color="FFFFFF" w:themeColor="background1"/>
        </w:rPr>
        <w:t>为进一步优化专项资金支持方式，逐步提高有偿支持资金比例，每年从专项资金预算中，根据需要安排一定数额的专项资金充实启东市政府性投资基金，用于资本化运作。启东市政府性投资基金按照政府投资基金有关办法管理。</w:t>
      </w:r>
    </w:p>
    <w:p>
      <w:pPr>
        <w:pStyle w:val="5"/>
        <w:keepNext w:val="0"/>
        <w:keepLines w:val="0"/>
        <w:pageBreakBefore w:val="0"/>
        <w:widowControl w:val="0"/>
        <w:kinsoku/>
        <w:wordWrap/>
        <w:overflowPunct w:val="0"/>
        <w:topLinePunct/>
        <w:autoSpaceDE/>
        <w:autoSpaceDN/>
        <w:bidi w:val="0"/>
        <w:adjustRightInd/>
        <w:snapToGrid/>
        <w:spacing w:line="590" w:lineRule="exact"/>
        <w:ind w:firstLine="640" w:firstLineChars="200"/>
        <w:jc w:val="both"/>
        <w:textAlignment w:val="auto"/>
        <w:rPr>
          <w:rFonts w:hint="eastAsia" w:ascii="Times New Roman" w:hAnsi="Times New Roman" w:eastAsia="仿宋_GB2312" w:cs="仿宋_GB2312"/>
          <w:sz w:val="32"/>
          <w:szCs w:val="32"/>
          <w:highlight w:val="none"/>
          <w:u w:color="FFFFFF" w:themeColor="background1"/>
        </w:rPr>
      </w:pPr>
      <w:r>
        <w:rPr>
          <w:rFonts w:hint="eastAsia" w:ascii="Times New Roman" w:hAnsi="Times New Roman" w:eastAsia="楷体_GB2312" w:cs="楷体_GB2312"/>
          <w:b w:val="0"/>
          <w:bCs w:val="0"/>
          <w:sz w:val="32"/>
          <w:szCs w:val="32"/>
          <w:highlight w:val="none"/>
        </w:rPr>
        <w:t>第三条</w:t>
      </w:r>
      <w:r>
        <w:rPr>
          <w:rFonts w:hint="eastAsia" w:ascii="Times New Roman" w:hAnsi="Times New Roman" w:eastAsia="仿宋_GB2312" w:cs="仿宋_GB2312"/>
          <w:sz w:val="32"/>
          <w:szCs w:val="32"/>
          <w:highlight w:val="none"/>
          <w:u w:color="FFFFFF" w:themeColor="background1"/>
          <w:lang w:eastAsia="zh-CN"/>
        </w:rPr>
        <w:t>　</w:t>
      </w:r>
      <w:r>
        <w:rPr>
          <w:rFonts w:hint="eastAsia" w:ascii="Times New Roman" w:hAnsi="Times New Roman" w:eastAsia="仿宋_GB2312" w:cs="仿宋_GB2312"/>
          <w:sz w:val="32"/>
          <w:szCs w:val="32"/>
          <w:highlight w:val="none"/>
          <w:u w:color="FFFFFF" w:themeColor="background1"/>
        </w:rPr>
        <w:t>专项资金的来源主要由市级财政预算安排。省、南通财政（含中央补助）通过转移支付方式补助的相关资金，可与</w:t>
      </w:r>
      <w:r>
        <w:rPr>
          <w:rFonts w:hint="eastAsia" w:eastAsia="仿宋_GB2312" w:cs="仿宋_GB2312"/>
          <w:sz w:val="32"/>
          <w:szCs w:val="32"/>
          <w:highlight w:val="none"/>
          <w:u w:color="FFFFFF" w:themeColor="background1"/>
          <w:lang w:eastAsia="zh-CN"/>
        </w:rPr>
        <w:t>市本级</w:t>
      </w:r>
      <w:r>
        <w:rPr>
          <w:rFonts w:hint="eastAsia" w:ascii="Times New Roman" w:hAnsi="Times New Roman" w:eastAsia="仿宋_GB2312" w:cs="仿宋_GB2312"/>
          <w:sz w:val="32"/>
          <w:szCs w:val="32"/>
          <w:highlight w:val="none"/>
          <w:u w:color="FFFFFF" w:themeColor="background1"/>
        </w:rPr>
        <w:t>专项资金统筹使用。</w:t>
      </w:r>
    </w:p>
    <w:p>
      <w:pPr>
        <w:pStyle w:val="5"/>
        <w:keepNext w:val="0"/>
        <w:keepLines w:val="0"/>
        <w:pageBreakBefore w:val="0"/>
        <w:widowControl w:val="0"/>
        <w:kinsoku/>
        <w:wordWrap/>
        <w:overflowPunct w:val="0"/>
        <w:topLinePunct/>
        <w:autoSpaceDE/>
        <w:autoSpaceDN/>
        <w:bidi w:val="0"/>
        <w:adjustRightInd/>
        <w:snapToGrid/>
        <w:spacing w:line="590" w:lineRule="exact"/>
        <w:ind w:firstLine="640" w:firstLineChars="200"/>
        <w:jc w:val="both"/>
        <w:textAlignment w:val="auto"/>
        <w:rPr>
          <w:rFonts w:hint="eastAsia" w:ascii="Times New Roman" w:hAnsi="Times New Roman" w:eastAsia="仿宋_GB2312" w:cs="仿宋_GB2312"/>
          <w:sz w:val="32"/>
          <w:szCs w:val="32"/>
          <w:highlight w:val="none"/>
          <w:u w:color="FFFFFF" w:themeColor="background1"/>
        </w:rPr>
      </w:pPr>
      <w:r>
        <w:rPr>
          <w:rFonts w:hint="eastAsia" w:ascii="Times New Roman" w:hAnsi="Times New Roman" w:eastAsia="仿宋_GB2312" w:cs="仿宋_GB2312"/>
          <w:sz w:val="32"/>
          <w:szCs w:val="32"/>
          <w:highlight w:val="none"/>
          <w:u w:color="FFFFFF" w:themeColor="background1"/>
        </w:rPr>
        <w:t>法律法规或国家、省市另有规定的，从其规定。</w:t>
      </w:r>
    </w:p>
    <w:p>
      <w:pPr>
        <w:pStyle w:val="5"/>
        <w:keepNext w:val="0"/>
        <w:keepLines w:val="0"/>
        <w:pageBreakBefore w:val="0"/>
        <w:widowControl w:val="0"/>
        <w:kinsoku/>
        <w:wordWrap/>
        <w:overflowPunct w:val="0"/>
        <w:topLinePunct/>
        <w:autoSpaceDE/>
        <w:autoSpaceDN/>
        <w:bidi w:val="0"/>
        <w:adjustRightInd/>
        <w:snapToGrid/>
        <w:spacing w:line="590" w:lineRule="exact"/>
        <w:ind w:firstLine="640" w:firstLineChars="200"/>
        <w:jc w:val="both"/>
        <w:textAlignment w:val="auto"/>
        <w:rPr>
          <w:rFonts w:hint="eastAsia" w:ascii="Times New Roman" w:hAnsi="Times New Roman" w:eastAsia="仿宋_GB2312" w:cs="仿宋_GB2312"/>
          <w:sz w:val="32"/>
          <w:szCs w:val="32"/>
          <w:highlight w:val="none"/>
          <w:u w:color="FFFFFF" w:themeColor="background1"/>
          <w:lang w:eastAsia="zh-CN"/>
        </w:rPr>
      </w:pPr>
      <w:r>
        <w:rPr>
          <w:rFonts w:hint="eastAsia" w:ascii="Times New Roman" w:hAnsi="Times New Roman" w:eastAsia="楷体_GB2312" w:cs="楷体_GB2312"/>
          <w:b w:val="0"/>
          <w:bCs w:val="0"/>
          <w:sz w:val="32"/>
          <w:szCs w:val="32"/>
          <w:highlight w:val="none"/>
        </w:rPr>
        <w:t>第四条</w:t>
      </w:r>
      <w:r>
        <w:rPr>
          <w:rFonts w:hint="eastAsia" w:ascii="Times New Roman" w:hAnsi="Times New Roman" w:eastAsia="仿宋_GB2312" w:cs="仿宋_GB2312"/>
          <w:sz w:val="32"/>
          <w:szCs w:val="32"/>
          <w:highlight w:val="none"/>
          <w:u w:color="FFFFFF" w:themeColor="background1"/>
          <w:lang w:eastAsia="zh-CN"/>
        </w:rPr>
        <w:t>　</w:t>
      </w:r>
      <w:r>
        <w:rPr>
          <w:rFonts w:hint="eastAsia" w:ascii="Times New Roman" w:hAnsi="Times New Roman" w:eastAsia="仿宋_GB2312" w:cs="仿宋_GB2312"/>
          <w:sz w:val="32"/>
          <w:szCs w:val="32"/>
          <w:highlight w:val="none"/>
          <w:u w:color="FFFFFF" w:themeColor="background1"/>
        </w:rPr>
        <w:t>专项资金使用和管理遵循以下原则：</w:t>
      </w:r>
    </w:p>
    <w:p>
      <w:pPr>
        <w:pStyle w:val="5"/>
        <w:keepNext w:val="0"/>
        <w:keepLines w:val="0"/>
        <w:pageBreakBefore w:val="0"/>
        <w:widowControl w:val="0"/>
        <w:numPr>
          <w:ilvl w:val="0"/>
          <w:numId w:val="0"/>
        </w:numPr>
        <w:kinsoku/>
        <w:wordWrap/>
        <w:overflowPunct w:val="0"/>
        <w:topLinePunct/>
        <w:autoSpaceDE/>
        <w:autoSpaceDN/>
        <w:bidi w:val="0"/>
        <w:adjustRightInd/>
        <w:snapToGrid/>
        <w:spacing w:line="590" w:lineRule="exact"/>
        <w:ind w:firstLine="640" w:firstLineChars="200"/>
        <w:jc w:val="both"/>
        <w:textAlignment w:val="auto"/>
        <w:rPr>
          <w:rFonts w:hint="eastAsia" w:ascii="Times New Roman" w:hAnsi="Times New Roman" w:eastAsia="仿宋_GB2312" w:cs="仿宋_GB2312"/>
          <w:sz w:val="32"/>
          <w:szCs w:val="32"/>
          <w:highlight w:val="none"/>
          <w:u w:color="FFFFFF" w:themeColor="background1"/>
        </w:rPr>
      </w:pPr>
      <w:r>
        <w:rPr>
          <w:rFonts w:hint="eastAsia" w:eastAsia="仿宋_GB2312" w:cs="仿宋_GB2312"/>
          <w:sz w:val="32"/>
          <w:szCs w:val="32"/>
          <w:highlight w:val="none"/>
          <w:u w:color="FFFFFF" w:themeColor="background1"/>
          <w:lang w:eastAsia="zh-CN"/>
        </w:rPr>
        <w:t>（一）</w:t>
      </w:r>
      <w:r>
        <w:rPr>
          <w:rFonts w:hint="eastAsia" w:ascii="Times New Roman" w:hAnsi="Times New Roman" w:eastAsia="仿宋_GB2312" w:cs="仿宋_GB2312"/>
          <w:sz w:val="32"/>
          <w:szCs w:val="32"/>
          <w:highlight w:val="none"/>
          <w:u w:color="FFFFFF" w:themeColor="background1"/>
        </w:rPr>
        <w:t>职责明确、管理规范。各部门按照</w:t>
      </w:r>
      <w:r>
        <w:rPr>
          <w:rFonts w:hint="eastAsia" w:eastAsia="仿宋_GB2312" w:cs="仿宋_GB2312"/>
          <w:sz w:val="32"/>
          <w:szCs w:val="32"/>
          <w:highlight w:val="none"/>
          <w:u w:color="FFFFFF" w:themeColor="background1"/>
          <w:lang w:eastAsia="zh-CN"/>
        </w:rPr>
        <w:t>管理职责</w:t>
      </w:r>
      <w:r>
        <w:rPr>
          <w:rFonts w:hint="eastAsia" w:ascii="Times New Roman" w:hAnsi="Times New Roman" w:eastAsia="仿宋_GB2312" w:cs="仿宋_GB2312"/>
          <w:sz w:val="32"/>
          <w:szCs w:val="32"/>
          <w:highlight w:val="none"/>
          <w:u w:color="FFFFFF" w:themeColor="background1"/>
        </w:rPr>
        <w:t>，协同做好专项资金的使用、管理和监督</w:t>
      </w:r>
      <w:r>
        <w:rPr>
          <w:rFonts w:hint="eastAsia" w:eastAsia="仿宋_GB2312" w:cs="仿宋_GB2312"/>
          <w:color w:val="auto"/>
          <w:sz w:val="32"/>
          <w:szCs w:val="32"/>
          <w:highlight w:val="none"/>
          <w:u w:color="FFFFFF" w:themeColor="background1"/>
          <w:lang w:eastAsia="zh-CN"/>
        </w:rPr>
        <w:t>工作</w:t>
      </w:r>
      <w:r>
        <w:rPr>
          <w:rFonts w:hint="eastAsia" w:ascii="Times New Roman" w:hAnsi="Times New Roman" w:eastAsia="仿宋_GB2312" w:cs="仿宋_GB2312"/>
          <w:sz w:val="32"/>
          <w:szCs w:val="32"/>
          <w:highlight w:val="none"/>
          <w:u w:color="FFFFFF" w:themeColor="background1"/>
        </w:rPr>
        <w:t>。</w:t>
      </w:r>
    </w:p>
    <w:p>
      <w:pPr>
        <w:pStyle w:val="5"/>
        <w:keepNext w:val="0"/>
        <w:keepLines w:val="0"/>
        <w:pageBreakBefore w:val="0"/>
        <w:widowControl w:val="0"/>
        <w:kinsoku/>
        <w:wordWrap/>
        <w:overflowPunct w:val="0"/>
        <w:topLinePunct/>
        <w:autoSpaceDE/>
        <w:autoSpaceDN/>
        <w:bidi w:val="0"/>
        <w:adjustRightInd/>
        <w:snapToGrid/>
        <w:spacing w:line="590" w:lineRule="exact"/>
        <w:jc w:val="both"/>
        <w:textAlignment w:val="auto"/>
        <w:rPr>
          <w:rFonts w:hint="eastAsia" w:ascii="Times New Roman" w:hAnsi="Times New Roman" w:eastAsia="仿宋_GB2312" w:cs="仿宋_GB2312"/>
          <w:sz w:val="32"/>
          <w:szCs w:val="32"/>
          <w:highlight w:val="none"/>
          <w:u w:val="single" w:color="FFFFFF" w:themeColor="background1"/>
        </w:rPr>
      </w:pPr>
      <w:r>
        <w:rPr>
          <w:rFonts w:hint="eastAsia" w:ascii="Times New Roman" w:hAnsi="Times New Roman" w:eastAsia="仿宋_GB2312" w:cs="仿宋_GB2312"/>
          <w:sz w:val="32"/>
          <w:szCs w:val="32"/>
          <w:highlight w:val="none"/>
          <w:u w:val="single" w:color="FFFFFF" w:themeColor="background1"/>
        </w:rPr>
        <w:t>（二）程序合规、公开透明。</w:t>
      </w:r>
      <w:r>
        <w:rPr>
          <w:rFonts w:hint="eastAsia" w:ascii="Times New Roman" w:hAnsi="Times New Roman" w:eastAsia="仿宋_GB2312" w:cs="仿宋_GB2312"/>
          <w:sz w:val="32"/>
          <w:szCs w:val="32"/>
          <w:highlight w:val="none"/>
        </w:rPr>
        <w:t>专项资金应严格按照程序兑现；对符合规定条件的认定类项目，要简化程序、提高效率。注重专项资金使用过程中的公开、透明。</w:t>
      </w:r>
    </w:p>
    <w:p>
      <w:pPr>
        <w:pStyle w:val="5"/>
        <w:keepNext w:val="0"/>
        <w:keepLines w:val="0"/>
        <w:pageBreakBefore w:val="0"/>
        <w:widowControl w:val="0"/>
        <w:kinsoku/>
        <w:wordWrap/>
        <w:overflowPunct w:val="0"/>
        <w:topLinePunct/>
        <w:autoSpaceDE/>
        <w:autoSpaceDN/>
        <w:bidi w:val="0"/>
        <w:adjustRightInd/>
        <w:snapToGrid/>
        <w:spacing w:line="590" w:lineRule="exact"/>
        <w:ind w:firstLine="640" w:firstLineChars="200"/>
        <w:jc w:val="both"/>
        <w:textAlignment w:val="auto"/>
        <w:rPr>
          <w:rFonts w:hint="eastAsia" w:ascii="Times New Roman" w:hAnsi="Times New Roman" w:eastAsia="仿宋_GB2312" w:cs="仿宋_GB2312"/>
          <w:sz w:val="32"/>
          <w:szCs w:val="32"/>
          <w:highlight w:val="none"/>
          <w:u w:val="single" w:color="FFFFFF" w:themeColor="background1"/>
        </w:rPr>
      </w:pPr>
      <w:r>
        <w:rPr>
          <w:rFonts w:hint="eastAsia" w:ascii="Times New Roman" w:hAnsi="Times New Roman" w:eastAsia="仿宋_GB2312" w:cs="仿宋_GB2312"/>
          <w:sz w:val="32"/>
          <w:szCs w:val="32"/>
          <w:highlight w:val="none"/>
          <w:u w:val="single" w:color="FFFFFF" w:themeColor="background1"/>
        </w:rPr>
        <w:t>（三）硬化约束，预算可控。</w:t>
      </w:r>
      <w:r>
        <w:rPr>
          <w:rFonts w:hint="eastAsia" w:ascii="Times New Roman" w:hAnsi="Times New Roman" w:eastAsia="仿宋_GB2312" w:cs="仿宋_GB2312"/>
          <w:sz w:val="32"/>
          <w:szCs w:val="32"/>
          <w:highlight w:val="none"/>
        </w:rPr>
        <w:t>专项资金的使用不得突破年初预算</w:t>
      </w:r>
      <w:r>
        <w:rPr>
          <w:rFonts w:hint="eastAsia" w:eastAsia="仿宋_GB2312" w:cs="仿宋_GB2312"/>
          <w:sz w:val="32"/>
          <w:szCs w:val="32"/>
          <w:highlight w:val="none"/>
          <w:lang w:eastAsia="zh-CN"/>
        </w:rPr>
        <w:t>总额</w:t>
      </w:r>
      <w:r>
        <w:rPr>
          <w:rFonts w:hint="eastAsia" w:ascii="Times New Roman" w:hAnsi="Times New Roman" w:eastAsia="仿宋_GB2312" w:cs="仿宋_GB2312"/>
          <w:sz w:val="32"/>
          <w:szCs w:val="32"/>
          <w:highlight w:val="none"/>
        </w:rPr>
        <w:t>。如有涉及</w:t>
      </w:r>
      <w:r>
        <w:rPr>
          <w:rFonts w:hint="eastAsia" w:eastAsia="仿宋_GB2312" w:cs="仿宋_GB2312"/>
          <w:sz w:val="32"/>
          <w:szCs w:val="32"/>
          <w:highlight w:val="none"/>
          <w:lang w:eastAsia="zh-CN"/>
        </w:rPr>
        <w:t>总额</w:t>
      </w:r>
      <w:r>
        <w:rPr>
          <w:rFonts w:hint="eastAsia" w:ascii="Times New Roman" w:hAnsi="Times New Roman" w:eastAsia="仿宋_GB2312" w:cs="仿宋_GB2312"/>
          <w:sz w:val="32"/>
          <w:szCs w:val="32"/>
          <w:highlight w:val="none"/>
        </w:rPr>
        <w:t>调整必须由市主管部门根据预算管理</w:t>
      </w:r>
      <w:r>
        <w:rPr>
          <w:rFonts w:hint="eastAsia" w:eastAsia="仿宋_GB2312" w:cs="仿宋_GB2312"/>
          <w:sz w:val="32"/>
          <w:szCs w:val="32"/>
          <w:highlight w:val="none"/>
          <w:lang w:eastAsia="zh-CN"/>
        </w:rPr>
        <w:t>相关</w:t>
      </w:r>
      <w:r>
        <w:rPr>
          <w:rFonts w:hint="eastAsia" w:eastAsia="仿宋_GB2312" w:cs="仿宋_GB2312"/>
          <w:color w:val="auto"/>
          <w:sz w:val="32"/>
          <w:szCs w:val="32"/>
          <w:highlight w:val="none"/>
          <w:lang w:eastAsia="zh-CN"/>
        </w:rPr>
        <w:t>要求</w:t>
      </w:r>
      <w:r>
        <w:rPr>
          <w:rFonts w:hint="eastAsia"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按程序报市政府批准后执行。</w:t>
      </w:r>
    </w:p>
    <w:p>
      <w:pPr>
        <w:pStyle w:val="5"/>
        <w:keepNext w:val="0"/>
        <w:keepLines w:val="0"/>
        <w:pageBreakBefore w:val="0"/>
        <w:widowControl w:val="0"/>
        <w:kinsoku/>
        <w:wordWrap/>
        <w:overflowPunct w:val="0"/>
        <w:topLinePunct/>
        <w:autoSpaceDE/>
        <w:autoSpaceDN/>
        <w:bidi w:val="0"/>
        <w:adjustRightInd/>
        <w:snapToGrid/>
        <w:spacing w:line="590" w:lineRule="exact"/>
        <w:ind w:firstLine="640" w:firstLineChars="200"/>
        <w:jc w:val="both"/>
        <w:textAlignment w:val="auto"/>
        <w:rPr>
          <w:rFonts w:hint="eastAsia" w:ascii="Times New Roman" w:hAnsi="Times New Roman" w:eastAsia="仿宋_GB2312" w:cs="仿宋_GB2312"/>
          <w:sz w:val="32"/>
          <w:szCs w:val="32"/>
          <w:highlight w:val="none"/>
          <w:u w:val="single" w:color="FFFFFF" w:themeColor="background1"/>
        </w:rPr>
      </w:pPr>
      <w:r>
        <w:rPr>
          <w:rFonts w:hint="eastAsia" w:ascii="Times New Roman" w:hAnsi="Times New Roman" w:eastAsia="仿宋_GB2312" w:cs="仿宋_GB2312"/>
          <w:sz w:val="32"/>
          <w:szCs w:val="32"/>
          <w:highlight w:val="none"/>
          <w:u w:val="single" w:color="FFFFFF" w:themeColor="background1"/>
        </w:rPr>
        <w:t>（四）注重绩效、强化应用。</w:t>
      </w:r>
      <w:r>
        <w:rPr>
          <w:rFonts w:hint="eastAsia" w:ascii="Times New Roman" w:hAnsi="Times New Roman" w:eastAsia="仿宋_GB2312" w:cs="仿宋_GB2312"/>
          <w:sz w:val="32"/>
          <w:szCs w:val="32"/>
          <w:highlight w:val="none"/>
        </w:rPr>
        <w:t>对专项资金实施绩效评价，将评价结果与专项资金政策调整、预算安排挂钩。</w:t>
      </w:r>
    </w:p>
    <w:p>
      <w:pPr>
        <w:pStyle w:val="5"/>
        <w:keepNext w:val="0"/>
        <w:keepLines w:val="0"/>
        <w:pageBreakBefore w:val="0"/>
        <w:widowControl w:val="0"/>
        <w:kinsoku/>
        <w:wordWrap/>
        <w:overflowPunct w:val="0"/>
        <w:topLinePunct/>
        <w:autoSpaceDE/>
        <w:autoSpaceDN/>
        <w:bidi w:val="0"/>
        <w:adjustRightInd/>
        <w:snapToGrid/>
        <w:spacing w:line="590" w:lineRule="exact"/>
        <w:ind w:firstLine="640" w:firstLineChars="200"/>
        <w:jc w:val="both"/>
        <w:textAlignment w:val="auto"/>
        <w:rPr>
          <w:rFonts w:hint="eastAsia" w:ascii="Times New Roman" w:hAnsi="Times New Roman" w:eastAsia="仿宋_GB2312" w:cs="仿宋_GB2312"/>
          <w:sz w:val="32"/>
          <w:szCs w:val="32"/>
          <w:highlight w:val="none"/>
          <w:u w:color="FFFFFF" w:themeColor="background1"/>
        </w:rPr>
      </w:pPr>
      <w:bookmarkStart w:id="4" w:name="_GoBack"/>
      <w:bookmarkEnd w:id="4"/>
    </w:p>
    <w:p>
      <w:pPr>
        <w:pStyle w:val="5"/>
        <w:keepNext w:val="0"/>
        <w:keepLines w:val="0"/>
        <w:pageBreakBefore w:val="0"/>
        <w:widowControl w:val="0"/>
        <w:shd w:val="clear" w:color="auto" w:fill="FFFFFF"/>
        <w:kinsoku/>
        <w:wordWrap/>
        <w:overflowPunct w:val="0"/>
        <w:topLinePunct/>
        <w:autoSpaceDE/>
        <w:autoSpaceDN/>
        <w:bidi w:val="0"/>
        <w:adjustRightInd/>
        <w:snapToGrid/>
        <w:spacing w:line="590" w:lineRule="exact"/>
        <w:ind w:firstLine="0" w:firstLineChars="0"/>
        <w:jc w:val="center"/>
        <w:textAlignment w:val="auto"/>
        <w:rPr>
          <w:rFonts w:hint="eastAsia" w:ascii="Times New Roman" w:hAnsi="Times New Roman" w:eastAsia="黑体" w:cs="黑体"/>
          <w:b w:val="0"/>
          <w:bCs w:val="0"/>
          <w:sz w:val="32"/>
          <w:szCs w:val="32"/>
          <w:highlight w:val="none"/>
        </w:rPr>
      </w:pPr>
      <w:r>
        <w:rPr>
          <w:rFonts w:hint="eastAsia" w:ascii="Times New Roman" w:hAnsi="Times New Roman" w:eastAsia="黑体" w:cs="黑体"/>
          <w:b w:val="0"/>
          <w:bCs w:val="0"/>
          <w:sz w:val="32"/>
          <w:szCs w:val="32"/>
          <w:highlight w:val="none"/>
        </w:rPr>
        <w:t>第二章</w:t>
      </w:r>
      <w:r>
        <w:rPr>
          <w:rFonts w:hint="eastAsia" w:ascii="Times New Roman" w:hAnsi="Times New Roman" w:eastAsia="黑体" w:cs="黑体"/>
          <w:b w:val="0"/>
          <w:bCs w:val="0"/>
          <w:sz w:val="32"/>
          <w:szCs w:val="32"/>
          <w:highlight w:val="none"/>
          <w:lang w:eastAsia="zh-CN"/>
        </w:rPr>
        <w:t>　</w:t>
      </w:r>
      <w:r>
        <w:rPr>
          <w:rFonts w:hint="eastAsia" w:ascii="Times New Roman" w:hAnsi="Times New Roman" w:eastAsia="黑体" w:cs="黑体"/>
          <w:b w:val="0"/>
          <w:bCs w:val="0"/>
          <w:sz w:val="32"/>
          <w:szCs w:val="32"/>
          <w:highlight w:val="none"/>
        </w:rPr>
        <w:t>管理职责</w:t>
      </w:r>
    </w:p>
    <w:p>
      <w:pPr>
        <w:pStyle w:val="5"/>
        <w:keepNext w:val="0"/>
        <w:keepLines w:val="0"/>
        <w:pageBreakBefore w:val="0"/>
        <w:widowControl w:val="0"/>
        <w:kinsoku/>
        <w:wordWrap/>
        <w:overflowPunct w:val="0"/>
        <w:topLinePunct/>
        <w:autoSpaceDE/>
        <w:autoSpaceDN/>
        <w:bidi w:val="0"/>
        <w:adjustRightInd/>
        <w:snapToGrid/>
        <w:spacing w:line="590" w:lineRule="exact"/>
        <w:ind w:firstLine="640" w:firstLineChars="200"/>
        <w:jc w:val="both"/>
        <w:textAlignment w:val="auto"/>
        <w:rPr>
          <w:rFonts w:hint="eastAsia" w:ascii="Times New Roman" w:hAnsi="Times New Roman" w:eastAsia="仿宋_GB2312" w:cs="仿宋_GB2312"/>
          <w:sz w:val="32"/>
          <w:szCs w:val="32"/>
          <w:highlight w:val="none"/>
        </w:rPr>
      </w:pPr>
      <w:r>
        <w:rPr>
          <w:rFonts w:hint="eastAsia" w:ascii="Times New Roman" w:hAnsi="Times New Roman" w:eastAsia="楷体_GB2312" w:cs="楷体_GB2312"/>
          <w:b w:val="0"/>
          <w:bCs w:val="0"/>
          <w:sz w:val="32"/>
          <w:szCs w:val="32"/>
          <w:highlight w:val="none"/>
        </w:rPr>
        <w:t>第五条</w:t>
      </w:r>
      <w:r>
        <w:rPr>
          <w:rFonts w:hint="eastAsia" w:ascii="Times New Roman" w:hAnsi="Times New Roman" w:eastAsia="仿宋_GB2312" w:cs="仿宋_GB2312"/>
          <w:sz w:val="32"/>
          <w:szCs w:val="32"/>
          <w:highlight w:val="none"/>
          <w:lang w:eastAsia="zh-CN"/>
        </w:rPr>
        <w:t>　</w:t>
      </w:r>
      <w:r>
        <w:rPr>
          <w:rFonts w:hint="eastAsia" w:ascii="Times New Roman" w:hAnsi="Times New Roman" w:eastAsia="仿宋_GB2312" w:cs="仿宋_GB2312"/>
          <w:sz w:val="32"/>
          <w:szCs w:val="32"/>
          <w:highlight w:val="none"/>
        </w:rPr>
        <w:t>市发改委、科技局、商务局、市场监管局、地方金融监管局、住建局作为专项资金的主管部门，履行专项资金</w:t>
      </w:r>
      <w:r>
        <w:rPr>
          <w:rFonts w:hint="eastAsia" w:eastAsia="仿宋_GB2312" w:cs="仿宋_GB2312"/>
          <w:color w:val="auto"/>
          <w:sz w:val="32"/>
          <w:szCs w:val="32"/>
          <w:highlight w:val="none"/>
          <w:lang w:eastAsia="zh-CN"/>
        </w:rPr>
        <w:t>管理</w:t>
      </w:r>
      <w:r>
        <w:rPr>
          <w:rFonts w:hint="eastAsia" w:ascii="Times New Roman" w:hAnsi="Times New Roman" w:eastAsia="仿宋_GB2312" w:cs="仿宋_GB2312"/>
          <w:sz w:val="32"/>
          <w:szCs w:val="32"/>
          <w:highlight w:val="none"/>
        </w:rPr>
        <w:t>的主体责任，对专项资金分配的合规性、安全性、有效性、支出进度及项目绩效负责。</w:t>
      </w:r>
    </w:p>
    <w:p>
      <w:pPr>
        <w:pStyle w:val="5"/>
        <w:keepNext w:val="0"/>
        <w:keepLines w:val="0"/>
        <w:pageBreakBefore w:val="0"/>
        <w:widowControl w:val="0"/>
        <w:kinsoku/>
        <w:wordWrap/>
        <w:overflowPunct w:val="0"/>
        <w:topLinePunct/>
        <w:autoSpaceDE/>
        <w:autoSpaceDN/>
        <w:bidi w:val="0"/>
        <w:adjustRightInd/>
        <w:snapToGrid/>
        <w:spacing w:line="590" w:lineRule="exact"/>
        <w:ind w:firstLine="640" w:firstLineChars="200"/>
        <w:jc w:val="both"/>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市财政局履行专项资金的预算管理和财政监督职责，对专项资金政策执行情况进行监督。</w:t>
      </w:r>
    </w:p>
    <w:p>
      <w:pPr>
        <w:pStyle w:val="5"/>
        <w:keepNext w:val="0"/>
        <w:keepLines w:val="0"/>
        <w:pageBreakBefore w:val="0"/>
        <w:widowControl w:val="0"/>
        <w:kinsoku/>
        <w:wordWrap/>
        <w:overflowPunct w:val="0"/>
        <w:topLinePunct/>
        <w:autoSpaceDE/>
        <w:autoSpaceDN/>
        <w:bidi w:val="0"/>
        <w:adjustRightInd/>
        <w:snapToGrid/>
        <w:spacing w:line="590" w:lineRule="exact"/>
        <w:ind w:firstLine="640" w:firstLineChars="200"/>
        <w:jc w:val="both"/>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各区镇按照专项资金管理要求，协助市</w:t>
      </w:r>
      <w:r>
        <w:rPr>
          <w:rFonts w:hint="eastAsia" w:eastAsia="仿宋_GB2312" w:cs="仿宋_GB2312"/>
          <w:sz w:val="32"/>
          <w:szCs w:val="32"/>
          <w:highlight w:val="none"/>
          <w:lang w:eastAsia="zh-CN"/>
        </w:rPr>
        <w:t>主管部门</w:t>
      </w:r>
      <w:r>
        <w:rPr>
          <w:rFonts w:hint="eastAsia" w:ascii="Times New Roman" w:hAnsi="Times New Roman" w:eastAsia="仿宋_GB2312" w:cs="仿宋_GB2312"/>
          <w:sz w:val="32"/>
          <w:szCs w:val="32"/>
          <w:highlight w:val="none"/>
        </w:rPr>
        <w:t>做好专项资金管理工作。</w:t>
      </w:r>
    </w:p>
    <w:p>
      <w:pPr>
        <w:pStyle w:val="5"/>
        <w:keepNext w:val="0"/>
        <w:keepLines w:val="0"/>
        <w:pageBreakBefore w:val="0"/>
        <w:widowControl w:val="0"/>
        <w:kinsoku/>
        <w:wordWrap/>
        <w:overflowPunct w:val="0"/>
        <w:topLinePunct/>
        <w:autoSpaceDE/>
        <w:autoSpaceDN/>
        <w:bidi w:val="0"/>
        <w:adjustRightInd/>
        <w:snapToGrid/>
        <w:spacing w:line="590" w:lineRule="exact"/>
        <w:ind w:firstLine="640" w:firstLineChars="200"/>
        <w:jc w:val="both"/>
        <w:textAlignment w:val="auto"/>
        <w:rPr>
          <w:rFonts w:hint="eastAsia" w:ascii="Times New Roman" w:hAnsi="Times New Roman" w:eastAsia="仿宋_GB2312" w:cs="仿宋_GB2312"/>
          <w:sz w:val="32"/>
          <w:szCs w:val="32"/>
          <w:highlight w:val="none"/>
        </w:rPr>
      </w:pPr>
      <w:r>
        <w:rPr>
          <w:rFonts w:hint="eastAsia" w:ascii="Times New Roman" w:hAnsi="Times New Roman" w:eastAsia="楷体_GB2312" w:cs="楷体_GB2312"/>
          <w:b w:val="0"/>
          <w:bCs w:val="0"/>
          <w:sz w:val="32"/>
          <w:szCs w:val="32"/>
          <w:highlight w:val="none"/>
        </w:rPr>
        <w:t>第六条</w:t>
      </w:r>
      <w:r>
        <w:rPr>
          <w:rFonts w:hint="eastAsia" w:ascii="Times New Roman" w:hAnsi="Times New Roman" w:eastAsia="仿宋_GB2312" w:cs="仿宋_GB2312"/>
          <w:sz w:val="32"/>
          <w:szCs w:val="32"/>
          <w:highlight w:val="none"/>
          <w:lang w:eastAsia="zh-CN"/>
        </w:rPr>
        <w:t>　</w:t>
      </w:r>
      <w:r>
        <w:rPr>
          <w:rFonts w:hint="eastAsia" w:ascii="Times New Roman" w:hAnsi="Times New Roman" w:eastAsia="仿宋_GB2312" w:cs="仿宋_GB2312"/>
          <w:sz w:val="32"/>
          <w:szCs w:val="32"/>
          <w:highlight w:val="none"/>
        </w:rPr>
        <w:t>市主管部门对本部门管理的专项资金履行以下专项资金管理职责：</w:t>
      </w:r>
    </w:p>
    <w:p>
      <w:pPr>
        <w:pStyle w:val="5"/>
        <w:keepNext w:val="0"/>
        <w:keepLines w:val="0"/>
        <w:pageBreakBefore w:val="0"/>
        <w:widowControl w:val="0"/>
        <w:kinsoku/>
        <w:wordWrap/>
        <w:overflowPunct w:val="0"/>
        <w:topLinePunct/>
        <w:autoSpaceDE/>
        <w:autoSpaceDN/>
        <w:bidi w:val="0"/>
        <w:adjustRightInd/>
        <w:snapToGrid/>
        <w:spacing w:line="590" w:lineRule="exact"/>
        <w:ind w:firstLine="640" w:firstLineChars="200"/>
        <w:jc w:val="both"/>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（一）按照预算管理要求，编制本部门管理的专项资金年度预算和政策绩效目标。</w:t>
      </w:r>
    </w:p>
    <w:p>
      <w:pPr>
        <w:pStyle w:val="5"/>
        <w:keepNext w:val="0"/>
        <w:keepLines w:val="0"/>
        <w:pageBreakBefore w:val="0"/>
        <w:widowControl w:val="0"/>
        <w:kinsoku/>
        <w:wordWrap/>
        <w:overflowPunct w:val="0"/>
        <w:topLinePunct/>
        <w:autoSpaceDE/>
        <w:autoSpaceDN/>
        <w:bidi w:val="0"/>
        <w:adjustRightInd/>
        <w:snapToGrid/>
        <w:spacing w:line="590" w:lineRule="exact"/>
        <w:ind w:firstLine="640" w:firstLineChars="200"/>
        <w:jc w:val="both"/>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（二）建立健全专项资金项目管理制度和内部决策程序，明确责任主体，规范资金管理。</w:t>
      </w:r>
      <w:r>
        <w:rPr>
          <w:rFonts w:hint="eastAsia" w:eastAsia="仿宋_GB2312" w:cs="仿宋_GB2312"/>
          <w:sz w:val="32"/>
          <w:szCs w:val="32"/>
          <w:highlight w:val="none"/>
          <w:lang w:eastAsia="zh-CN"/>
        </w:rPr>
        <w:t>配合</w:t>
      </w:r>
      <w:r>
        <w:rPr>
          <w:rFonts w:hint="eastAsia" w:ascii="Times New Roman" w:hAnsi="Times New Roman" w:eastAsia="仿宋_GB2312" w:cs="仿宋_GB2312"/>
          <w:sz w:val="32"/>
          <w:szCs w:val="32"/>
          <w:highlight w:val="none"/>
        </w:rPr>
        <w:t>市财政局建立健全专项资金管理办法。</w:t>
      </w:r>
    </w:p>
    <w:p>
      <w:pPr>
        <w:pStyle w:val="5"/>
        <w:keepNext w:val="0"/>
        <w:keepLines w:val="0"/>
        <w:pageBreakBefore w:val="0"/>
        <w:widowControl w:val="0"/>
        <w:kinsoku/>
        <w:wordWrap/>
        <w:overflowPunct w:val="0"/>
        <w:topLinePunct/>
        <w:autoSpaceDE/>
        <w:autoSpaceDN/>
        <w:bidi w:val="0"/>
        <w:adjustRightInd/>
        <w:snapToGrid/>
        <w:spacing w:line="590" w:lineRule="exact"/>
        <w:ind w:firstLine="640" w:firstLineChars="200"/>
        <w:jc w:val="both"/>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三）研究提出专项资金政策建议。根据专项资金政策和资金管理办法，制订和完善专项政策实施细则、项目申报通知（指南）；组织专项资金项目申报，审查项目承担主体信用情况并审定项目，对项目的真实性、合规性、有效性负责。</w:t>
      </w:r>
    </w:p>
    <w:p>
      <w:pPr>
        <w:pStyle w:val="5"/>
        <w:keepNext w:val="0"/>
        <w:keepLines w:val="0"/>
        <w:pageBreakBefore w:val="0"/>
        <w:widowControl w:val="0"/>
        <w:kinsoku/>
        <w:wordWrap/>
        <w:overflowPunct w:val="0"/>
        <w:topLinePunct/>
        <w:autoSpaceDE/>
        <w:autoSpaceDN/>
        <w:bidi w:val="0"/>
        <w:adjustRightInd/>
        <w:snapToGrid/>
        <w:spacing w:line="590" w:lineRule="exact"/>
        <w:ind w:firstLine="640" w:firstLineChars="200"/>
        <w:jc w:val="both"/>
        <w:textAlignment w:val="auto"/>
        <w:rPr>
          <w:rFonts w:hint="eastAsia" w:ascii="Times New Roman" w:hAnsi="Times New Roman" w:eastAsia="仿宋_GB2312" w:cs="仿宋_GB2312"/>
          <w:sz w:val="32"/>
          <w:szCs w:val="32"/>
          <w:highlight w:val="none"/>
          <w:lang w:eastAsia="zh-CN"/>
        </w:rPr>
      </w:pPr>
      <w:r>
        <w:rPr>
          <w:rFonts w:hint="eastAsia" w:ascii="Times New Roman" w:hAnsi="Times New Roman" w:eastAsia="仿宋_GB2312" w:cs="仿宋_GB2312"/>
          <w:sz w:val="32"/>
          <w:szCs w:val="32"/>
          <w:highlight w:val="none"/>
        </w:rPr>
        <w:t>（四）研究决定专项资金分配方案，牵头受理、审核并提出“一事一议”政策项目的支持建议</w:t>
      </w:r>
      <w:r>
        <w:rPr>
          <w:rFonts w:hint="eastAsia" w:eastAsia="仿宋_GB2312" w:cs="仿宋_GB2312"/>
          <w:color w:val="auto"/>
          <w:sz w:val="32"/>
          <w:szCs w:val="32"/>
          <w:highlight w:val="none"/>
          <w:lang w:eastAsia="zh-CN"/>
        </w:rPr>
        <w:t>后</w:t>
      </w:r>
      <w:r>
        <w:rPr>
          <w:rFonts w:hint="eastAsia" w:ascii="Times New Roman" w:hAnsi="Times New Roman" w:eastAsia="仿宋_GB2312" w:cs="仿宋_GB2312"/>
          <w:sz w:val="32"/>
          <w:szCs w:val="32"/>
          <w:highlight w:val="none"/>
        </w:rPr>
        <w:t>按规定程序报市政府审批，根据市财政局下达的资金拨付计划，及时将资金拨付至项目承担单位，执行已经批复的专项资金预算，对本部门管理的专项资金预算执行进度负责</w:t>
      </w:r>
      <w:r>
        <w:rPr>
          <w:rFonts w:hint="eastAsia" w:eastAsia="仿宋_GB2312" w:cs="仿宋_GB2312"/>
          <w:sz w:val="32"/>
          <w:szCs w:val="32"/>
          <w:highlight w:val="none"/>
          <w:lang w:eastAsia="zh-CN"/>
        </w:rPr>
        <w:t>。</w:t>
      </w:r>
    </w:p>
    <w:p>
      <w:pPr>
        <w:pStyle w:val="5"/>
        <w:keepNext w:val="0"/>
        <w:keepLines w:val="0"/>
        <w:pageBreakBefore w:val="0"/>
        <w:widowControl w:val="0"/>
        <w:kinsoku/>
        <w:wordWrap/>
        <w:overflowPunct w:val="0"/>
        <w:topLinePunct/>
        <w:autoSpaceDE/>
        <w:autoSpaceDN/>
        <w:bidi w:val="0"/>
        <w:adjustRightInd/>
        <w:snapToGrid/>
        <w:spacing w:line="590" w:lineRule="exact"/>
        <w:ind w:firstLine="640" w:firstLineChars="200"/>
        <w:jc w:val="both"/>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（五）负责专项资金项目实施情况的监督检查，开展专项资金决算和绩效评价等工作。</w:t>
      </w:r>
    </w:p>
    <w:p>
      <w:pPr>
        <w:pStyle w:val="5"/>
        <w:keepNext w:val="0"/>
        <w:keepLines w:val="0"/>
        <w:pageBreakBefore w:val="0"/>
        <w:widowControl w:val="0"/>
        <w:kinsoku/>
        <w:wordWrap/>
        <w:overflowPunct w:val="0"/>
        <w:topLinePunct/>
        <w:autoSpaceDE/>
        <w:autoSpaceDN/>
        <w:bidi w:val="0"/>
        <w:adjustRightInd/>
        <w:snapToGrid/>
        <w:spacing w:line="590" w:lineRule="exact"/>
        <w:ind w:firstLine="640" w:firstLineChars="200"/>
        <w:jc w:val="both"/>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（六）负责专项资金项目有关材料的整理归档工作。</w:t>
      </w:r>
    </w:p>
    <w:p>
      <w:pPr>
        <w:pStyle w:val="5"/>
        <w:keepNext w:val="0"/>
        <w:keepLines w:val="0"/>
        <w:pageBreakBefore w:val="0"/>
        <w:widowControl w:val="0"/>
        <w:kinsoku/>
        <w:wordWrap/>
        <w:overflowPunct w:val="0"/>
        <w:topLinePunct/>
        <w:autoSpaceDE/>
        <w:autoSpaceDN/>
        <w:bidi w:val="0"/>
        <w:adjustRightInd/>
        <w:snapToGrid/>
        <w:spacing w:line="590" w:lineRule="exact"/>
        <w:ind w:firstLine="640" w:firstLineChars="200"/>
        <w:jc w:val="both"/>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（七）法律、法规、规章规定的其他职责。</w:t>
      </w:r>
    </w:p>
    <w:p>
      <w:pPr>
        <w:pStyle w:val="5"/>
        <w:keepNext w:val="0"/>
        <w:keepLines w:val="0"/>
        <w:pageBreakBefore w:val="0"/>
        <w:widowControl w:val="0"/>
        <w:kinsoku/>
        <w:wordWrap/>
        <w:overflowPunct w:val="0"/>
        <w:topLinePunct/>
        <w:autoSpaceDE/>
        <w:autoSpaceDN/>
        <w:bidi w:val="0"/>
        <w:adjustRightInd/>
        <w:snapToGrid/>
        <w:spacing w:line="590" w:lineRule="exact"/>
        <w:ind w:firstLine="640" w:firstLineChars="200"/>
        <w:jc w:val="both"/>
        <w:textAlignment w:val="auto"/>
        <w:rPr>
          <w:rFonts w:hint="eastAsia" w:ascii="Times New Roman" w:hAnsi="Times New Roman" w:eastAsia="仿宋_GB2312" w:cs="仿宋_GB2312"/>
          <w:sz w:val="32"/>
          <w:szCs w:val="32"/>
          <w:highlight w:val="none"/>
        </w:rPr>
      </w:pPr>
      <w:r>
        <w:rPr>
          <w:rFonts w:hint="eastAsia" w:ascii="Times New Roman" w:hAnsi="Times New Roman" w:eastAsia="楷体_GB2312" w:cs="楷体_GB2312"/>
          <w:b w:val="0"/>
          <w:bCs w:val="0"/>
          <w:sz w:val="32"/>
          <w:szCs w:val="32"/>
          <w:highlight w:val="none"/>
        </w:rPr>
        <w:t>第七条</w:t>
      </w:r>
      <w:r>
        <w:rPr>
          <w:rFonts w:hint="eastAsia" w:ascii="Times New Roman" w:hAnsi="Times New Roman" w:eastAsia="仿宋_GB2312" w:cs="仿宋_GB2312"/>
          <w:sz w:val="32"/>
          <w:szCs w:val="32"/>
          <w:highlight w:val="none"/>
          <w:lang w:eastAsia="zh-CN"/>
        </w:rPr>
        <w:t>　</w:t>
      </w:r>
      <w:r>
        <w:rPr>
          <w:rFonts w:hint="eastAsia" w:ascii="Times New Roman" w:hAnsi="Times New Roman" w:eastAsia="仿宋_GB2312" w:cs="仿宋_GB2312"/>
          <w:sz w:val="32"/>
          <w:szCs w:val="32"/>
          <w:highlight w:val="none"/>
        </w:rPr>
        <w:t>市财政局履行以下专项资金管理职责：</w:t>
      </w:r>
    </w:p>
    <w:p>
      <w:pPr>
        <w:pStyle w:val="5"/>
        <w:keepNext w:val="0"/>
        <w:keepLines w:val="0"/>
        <w:pageBreakBefore w:val="0"/>
        <w:widowControl w:val="0"/>
        <w:kinsoku/>
        <w:wordWrap/>
        <w:overflowPunct w:val="0"/>
        <w:topLinePunct/>
        <w:autoSpaceDE/>
        <w:autoSpaceDN/>
        <w:bidi w:val="0"/>
        <w:adjustRightInd/>
        <w:snapToGrid/>
        <w:spacing w:line="590" w:lineRule="exact"/>
        <w:ind w:firstLine="640" w:firstLineChars="200"/>
        <w:jc w:val="both"/>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（一）审核市主管部门编制的专项资金年度预算和绩效目标，汇总编制专项资金年度支出计划报市政府审批。</w:t>
      </w:r>
    </w:p>
    <w:p>
      <w:pPr>
        <w:pStyle w:val="5"/>
        <w:keepNext w:val="0"/>
        <w:keepLines w:val="0"/>
        <w:pageBreakBefore w:val="0"/>
        <w:widowControl w:val="0"/>
        <w:kinsoku/>
        <w:wordWrap/>
        <w:overflowPunct w:val="0"/>
        <w:topLinePunct/>
        <w:autoSpaceDE/>
        <w:autoSpaceDN/>
        <w:bidi w:val="0"/>
        <w:adjustRightInd/>
        <w:snapToGrid/>
        <w:spacing w:line="590" w:lineRule="exact"/>
        <w:ind w:firstLine="640" w:firstLineChars="200"/>
        <w:jc w:val="both"/>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（二）制定专项资金管理办法，参与市主管部门制定专项资金政策及实施细则、申报通知（指南）等。</w:t>
      </w:r>
    </w:p>
    <w:p>
      <w:pPr>
        <w:pStyle w:val="5"/>
        <w:keepNext w:val="0"/>
        <w:keepLines w:val="0"/>
        <w:pageBreakBefore w:val="0"/>
        <w:widowControl w:val="0"/>
        <w:kinsoku/>
        <w:wordWrap/>
        <w:overflowPunct w:val="0"/>
        <w:topLinePunct/>
        <w:autoSpaceDE/>
        <w:autoSpaceDN/>
        <w:bidi w:val="0"/>
        <w:adjustRightInd/>
        <w:snapToGrid/>
        <w:spacing w:line="590" w:lineRule="exact"/>
        <w:ind w:firstLine="640" w:firstLineChars="200"/>
        <w:jc w:val="both"/>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（三）根据项目需要参与市主管部门牵头组织的项目会商。</w:t>
      </w:r>
    </w:p>
    <w:p>
      <w:pPr>
        <w:pStyle w:val="5"/>
        <w:keepNext w:val="0"/>
        <w:keepLines w:val="0"/>
        <w:pageBreakBefore w:val="0"/>
        <w:widowControl w:val="0"/>
        <w:kinsoku/>
        <w:wordWrap/>
        <w:overflowPunct w:val="0"/>
        <w:topLinePunct/>
        <w:autoSpaceDE/>
        <w:autoSpaceDN/>
        <w:bidi w:val="0"/>
        <w:adjustRightInd/>
        <w:snapToGrid/>
        <w:spacing w:line="590" w:lineRule="exact"/>
        <w:ind w:firstLine="640" w:firstLineChars="200"/>
        <w:jc w:val="both"/>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（四）对专项资金政策执行情况进行监督。</w:t>
      </w:r>
    </w:p>
    <w:p>
      <w:pPr>
        <w:pStyle w:val="5"/>
        <w:keepNext w:val="0"/>
        <w:keepLines w:val="0"/>
        <w:pageBreakBefore w:val="0"/>
        <w:widowControl w:val="0"/>
        <w:kinsoku/>
        <w:wordWrap/>
        <w:overflowPunct w:val="0"/>
        <w:topLinePunct/>
        <w:autoSpaceDE/>
        <w:autoSpaceDN/>
        <w:bidi w:val="0"/>
        <w:adjustRightInd/>
        <w:snapToGrid/>
        <w:spacing w:line="590" w:lineRule="exact"/>
        <w:ind w:firstLine="640" w:firstLineChars="200"/>
        <w:jc w:val="both"/>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（五）依据专项资金预算、市主管部门的审核认定结果和申请报告，按预算管理规定及时向主管部门下达资金拨付计划。</w:t>
      </w:r>
    </w:p>
    <w:p>
      <w:pPr>
        <w:pStyle w:val="5"/>
        <w:keepNext w:val="0"/>
        <w:keepLines w:val="0"/>
        <w:pageBreakBefore w:val="0"/>
        <w:widowControl w:val="0"/>
        <w:kinsoku/>
        <w:wordWrap/>
        <w:overflowPunct w:val="0"/>
        <w:topLinePunct/>
        <w:autoSpaceDE/>
        <w:autoSpaceDN/>
        <w:bidi w:val="0"/>
        <w:adjustRightInd/>
        <w:snapToGrid/>
        <w:spacing w:line="590" w:lineRule="exact"/>
        <w:ind w:firstLine="640" w:firstLineChars="200"/>
        <w:jc w:val="both"/>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（六）组织开展专项资金绩效管理工作。</w:t>
      </w:r>
    </w:p>
    <w:p>
      <w:pPr>
        <w:pStyle w:val="5"/>
        <w:keepNext w:val="0"/>
        <w:keepLines w:val="0"/>
        <w:pageBreakBefore w:val="0"/>
        <w:widowControl w:val="0"/>
        <w:kinsoku/>
        <w:wordWrap/>
        <w:overflowPunct w:val="0"/>
        <w:topLinePunct/>
        <w:autoSpaceDE/>
        <w:autoSpaceDN/>
        <w:bidi w:val="0"/>
        <w:adjustRightInd/>
        <w:snapToGrid/>
        <w:spacing w:line="590" w:lineRule="exact"/>
        <w:ind w:firstLine="640" w:firstLineChars="200"/>
        <w:jc w:val="both"/>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（七）法律、法规、规章规定的其他职责。</w:t>
      </w:r>
    </w:p>
    <w:p>
      <w:pPr>
        <w:pStyle w:val="5"/>
        <w:keepNext w:val="0"/>
        <w:keepLines w:val="0"/>
        <w:pageBreakBefore w:val="0"/>
        <w:widowControl w:val="0"/>
        <w:kinsoku/>
        <w:wordWrap/>
        <w:overflowPunct w:val="0"/>
        <w:topLinePunct/>
        <w:autoSpaceDE/>
        <w:autoSpaceDN/>
        <w:bidi w:val="0"/>
        <w:adjustRightInd/>
        <w:snapToGrid/>
        <w:spacing w:line="590" w:lineRule="exact"/>
        <w:ind w:firstLine="640" w:firstLineChars="200"/>
        <w:jc w:val="both"/>
        <w:textAlignment w:val="auto"/>
        <w:rPr>
          <w:rFonts w:hint="eastAsia" w:ascii="Times New Roman" w:hAnsi="Times New Roman" w:eastAsia="仿宋_GB2312" w:cs="仿宋_GB2312"/>
          <w:sz w:val="32"/>
          <w:szCs w:val="32"/>
          <w:highlight w:val="none"/>
        </w:rPr>
      </w:pPr>
      <w:r>
        <w:rPr>
          <w:rFonts w:hint="eastAsia" w:ascii="Times New Roman" w:hAnsi="Times New Roman" w:eastAsia="楷体_GB2312" w:cs="楷体_GB2312"/>
          <w:b w:val="0"/>
          <w:bCs w:val="0"/>
          <w:sz w:val="32"/>
          <w:szCs w:val="32"/>
          <w:highlight w:val="none"/>
        </w:rPr>
        <w:t>第八条</w:t>
      </w:r>
      <w:r>
        <w:rPr>
          <w:rFonts w:hint="eastAsia" w:ascii="Times New Roman" w:hAnsi="Times New Roman" w:eastAsia="仿宋_GB2312" w:cs="仿宋_GB2312"/>
          <w:sz w:val="32"/>
          <w:szCs w:val="32"/>
          <w:highlight w:val="none"/>
          <w:lang w:eastAsia="zh-CN"/>
        </w:rPr>
        <w:t>　</w:t>
      </w:r>
      <w:r>
        <w:rPr>
          <w:rFonts w:hint="eastAsia" w:ascii="Times New Roman" w:hAnsi="Times New Roman" w:eastAsia="仿宋_GB2312" w:cs="仿宋_GB2312"/>
          <w:sz w:val="32"/>
          <w:szCs w:val="32"/>
          <w:highlight w:val="none"/>
        </w:rPr>
        <w:t>区镇加强企业属地管理，履行以下专项资金管理职责：</w:t>
      </w:r>
    </w:p>
    <w:p>
      <w:pPr>
        <w:pStyle w:val="5"/>
        <w:keepNext w:val="0"/>
        <w:keepLines w:val="0"/>
        <w:pageBreakBefore w:val="0"/>
        <w:widowControl w:val="0"/>
        <w:kinsoku/>
        <w:wordWrap/>
        <w:overflowPunct w:val="0"/>
        <w:topLinePunct/>
        <w:autoSpaceDE/>
        <w:autoSpaceDN/>
        <w:bidi w:val="0"/>
        <w:adjustRightInd/>
        <w:snapToGrid/>
        <w:spacing w:line="590" w:lineRule="exact"/>
        <w:ind w:firstLine="640" w:firstLineChars="200"/>
        <w:jc w:val="both"/>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（一）按照市主管部门的要求，根据项目申报通知（指南）组织项目申报，审核项目及项目材料的真实性、完整性、合规性，对初审结果负责。</w:t>
      </w:r>
    </w:p>
    <w:p>
      <w:pPr>
        <w:pStyle w:val="5"/>
        <w:keepNext w:val="0"/>
        <w:keepLines w:val="0"/>
        <w:pageBreakBefore w:val="0"/>
        <w:widowControl w:val="0"/>
        <w:kinsoku/>
        <w:wordWrap/>
        <w:overflowPunct w:val="0"/>
        <w:topLinePunct/>
        <w:autoSpaceDE/>
        <w:autoSpaceDN/>
        <w:bidi w:val="0"/>
        <w:adjustRightInd/>
        <w:snapToGrid/>
        <w:spacing w:line="590" w:lineRule="exact"/>
        <w:ind w:firstLine="640" w:firstLineChars="200"/>
        <w:jc w:val="both"/>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（二）按规定及时结算“一事一议”项目、专项补助项目、市镇共担项目资金。</w:t>
      </w:r>
    </w:p>
    <w:p>
      <w:pPr>
        <w:pStyle w:val="5"/>
        <w:keepNext w:val="0"/>
        <w:keepLines w:val="0"/>
        <w:pageBreakBefore w:val="0"/>
        <w:widowControl w:val="0"/>
        <w:kinsoku/>
        <w:wordWrap/>
        <w:overflowPunct w:val="0"/>
        <w:topLinePunct/>
        <w:autoSpaceDE/>
        <w:autoSpaceDN/>
        <w:bidi w:val="0"/>
        <w:adjustRightInd/>
        <w:snapToGrid/>
        <w:spacing w:line="590" w:lineRule="exact"/>
        <w:ind w:firstLine="640" w:firstLineChars="200"/>
        <w:jc w:val="both"/>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（三）负责项目属地监管及跟踪服务工作。参与项目现场核查、验收和评估，根据市主管部门要求报送项目实施情况，配合市主管部门做好专项资金政策的绩效评价工作。</w:t>
      </w:r>
    </w:p>
    <w:p>
      <w:pPr>
        <w:pStyle w:val="5"/>
        <w:keepNext w:val="0"/>
        <w:keepLines w:val="0"/>
        <w:pageBreakBefore w:val="0"/>
        <w:widowControl w:val="0"/>
        <w:kinsoku/>
        <w:wordWrap/>
        <w:overflowPunct w:val="0"/>
        <w:topLinePunct/>
        <w:autoSpaceDE/>
        <w:autoSpaceDN/>
        <w:bidi w:val="0"/>
        <w:adjustRightInd/>
        <w:snapToGrid/>
        <w:spacing w:line="590" w:lineRule="exact"/>
        <w:ind w:firstLine="640" w:firstLineChars="200"/>
        <w:jc w:val="both"/>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（四）法律、法规、规章规定的其他职责。</w:t>
      </w:r>
    </w:p>
    <w:p>
      <w:pPr>
        <w:pStyle w:val="5"/>
        <w:keepNext w:val="0"/>
        <w:keepLines w:val="0"/>
        <w:pageBreakBefore w:val="0"/>
        <w:widowControl w:val="0"/>
        <w:kinsoku/>
        <w:wordWrap/>
        <w:overflowPunct w:val="0"/>
        <w:topLinePunct/>
        <w:autoSpaceDE/>
        <w:autoSpaceDN/>
        <w:bidi w:val="0"/>
        <w:adjustRightInd/>
        <w:snapToGrid/>
        <w:spacing w:line="590" w:lineRule="exact"/>
        <w:ind w:firstLine="640" w:firstLineChars="200"/>
        <w:jc w:val="both"/>
        <w:textAlignment w:val="auto"/>
        <w:rPr>
          <w:rFonts w:hint="eastAsia" w:ascii="Times New Roman" w:hAnsi="Times New Roman" w:eastAsia="仿宋_GB2312" w:cs="仿宋_GB2312"/>
          <w:sz w:val="32"/>
          <w:szCs w:val="32"/>
          <w:highlight w:val="none"/>
        </w:rPr>
      </w:pPr>
      <w:r>
        <w:rPr>
          <w:rFonts w:hint="eastAsia" w:ascii="Times New Roman" w:hAnsi="Times New Roman" w:eastAsia="楷体_GB2312" w:cs="楷体_GB2312"/>
          <w:b w:val="0"/>
          <w:bCs w:val="0"/>
          <w:sz w:val="32"/>
          <w:szCs w:val="32"/>
          <w:highlight w:val="none"/>
        </w:rPr>
        <w:t>第九条</w:t>
      </w:r>
      <w:r>
        <w:rPr>
          <w:rFonts w:hint="eastAsia" w:ascii="Times New Roman" w:hAnsi="Times New Roman" w:eastAsia="仿宋_GB2312" w:cs="仿宋_GB2312"/>
          <w:b/>
          <w:bCs/>
          <w:sz w:val="32"/>
          <w:szCs w:val="32"/>
          <w:highlight w:val="none"/>
          <w:lang w:eastAsia="zh-CN"/>
        </w:rPr>
        <w:t>　</w:t>
      </w:r>
      <w:r>
        <w:rPr>
          <w:rFonts w:hint="eastAsia" w:ascii="Times New Roman" w:hAnsi="Times New Roman" w:eastAsia="仿宋_GB2312" w:cs="仿宋_GB2312"/>
          <w:sz w:val="32"/>
          <w:szCs w:val="32"/>
          <w:highlight w:val="none"/>
        </w:rPr>
        <w:t>专项资金使用单位作为项目实施和资金管理的责任主体，履行以下专项资金管理职责：</w:t>
      </w:r>
    </w:p>
    <w:p>
      <w:pPr>
        <w:pStyle w:val="5"/>
        <w:keepNext w:val="0"/>
        <w:keepLines w:val="0"/>
        <w:pageBreakBefore w:val="0"/>
        <w:widowControl w:val="0"/>
        <w:kinsoku/>
        <w:wordWrap/>
        <w:overflowPunct w:val="0"/>
        <w:topLinePunct/>
        <w:autoSpaceDE/>
        <w:autoSpaceDN/>
        <w:bidi w:val="0"/>
        <w:adjustRightInd/>
        <w:snapToGrid/>
        <w:spacing w:line="590" w:lineRule="exact"/>
        <w:ind w:firstLine="640" w:firstLineChars="200"/>
        <w:jc w:val="both"/>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（一）根据年度项目申报</w:t>
      </w:r>
      <w:r>
        <w:rPr>
          <w:rFonts w:hint="eastAsia" w:eastAsia="仿宋_GB2312" w:cs="仿宋_GB2312"/>
          <w:sz w:val="32"/>
          <w:szCs w:val="32"/>
          <w:highlight w:val="none"/>
          <w:lang w:eastAsia="zh-CN"/>
        </w:rPr>
        <w:t>通知（</w:t>
      </w:r>
      <w:r>
        <w:rPr>
          <w:rFonts w:hint="eastAsia" w:ascii="Times New Roman" w:hAnsi="Times New Roman" w:eastAsia="仿宋_GB2312" w:cs="仿宋_GB2312"/>
          <w:sz w:val="32"/>
          <w:szCs w:val="32"/>
          <w:highlight w:val="none"/>
        </w:rPr>
        <w:t>指南</w:t>
      </w:r>
      <w:r>
        <w:rPr>
          <w:rFonts w:hint="eastAsia"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和相关规定开展项目申报，对提供资料的真实性、完整性负责，落实信用承诺。同一项目涉及两项以上政策的，按就高不重复原则，只能申报一项市级专项资金的一次扶持。</w:t>
      </w:r>
    </w:p>
    <w:p>
      <w:pPr>
        <w:pStyle w:val="5"/>
        <w:keepNext w:val="0"/>
        <w:keepLines w:val="0"/>
        <w:pageBreakBefore w:val="0"/>
        <w:widowControl w:val="0"/>
        <w:kinsoku/>
        <w:wordWrap/>
        <w:overflowPunct w:val="0"/>
        <w:topLinePunct/>
        <w:autoSpaceDE/>
        <w:autoSpaceDN/>
        <w:bidi w:val="0"/>
        <w:adjustRightInd/>
        <w:snapToGrid/>
        <w:spacing w:line="590" w:lineRule="exact"/>
        <w:ind w:firstLine="640" w:firstLineChars="200"/>
        <w:jc w:val="both"/>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（二）组织项目实施，对项目实施质量负责；需要验收的项目，项目完成后及时向业务主管部门提交验收申请。</w:t>
      </w:r>
    </w:p>
    <w:p>
      <w:pPr>
        <w:pStyle w:val="5"/>
        <w:keepNext w:val="0"/>
        <w:keepLines w:val="0"/>
        <w:pageBreakBefore w:val="0"/>
        <w:widowControl w:val="0"/>
        <w:kinsoku/>
        <w:wordWrap/>
        <w:overflowPunct w:val="0"/>
        <w:topLinePunct/>
        <w:autoSpaceDE/>
        <w:autoSpaceDN/>
        <w:bidi w:val="0"/>
        <w:adjustRightInd/>
        <w:snapToGrid/>
        <w:spacing w:line="590" w:lineRule="exact"/>
        <w:ind w:firstLine="640" w:firstLineChars="200"/>
        <w:jc w:val="both"/>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（三）按规定范围使用专项资金，负责专项资金的财务管理、会计核算和绩效自评。</w:t>
      </w:r>
    </w:p>
    <w:p>
      <w:pPr>
        <w:pStyle w:val="5"/>
        <w:keepNext w:val="0"/>
        <w:keepLines w:val="0"/>
        <w:pageBreakBefore w:val="0"/>
        <w:widowControl w:val="0"/>
        <w:kinsoku/>
        <w:wordWrap/>
        <w:overflowPunct w:val="0"/>
        <w:topLinePunct/>
        <w:autoSpaceDE/>
        <w:autoSpaceDN/>
        <w:bidi w:val="0"/>
        <w:adjustRightInd/>
        <w:snapToGrid/>
        <w:spacing w:line="590" w:lineRule="exact"/>
        <w:ind w:firstLine="640" w:firstLineChars="200"/>
        <w:jc w:val="both"/>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（四）配合相关部门对项目开展监督检查、考核验收、绩效评价及项目资金清算等工作。</w:t>
      </w:r>
    </w:p>
    <w:p>
      <w:pPr>
        <w:pStyle w:val="5"/>
        <w:keepNext w:val="0"/>
        <w:keepLines w:val="0"/>
        <w:pageBreakBefore w:val="0"/>
        <w:widowControl w:val="0"/>
        <w:kinsoku/>
        <w:wordWrap/>
        <w:overflowPunct w:val="0"/>
        <w:topLinePunct/>
        <w:autoSpaceDE/>
        <w:autoSpaceDN/>
        <w:bidi w:val="0"/>
        <w:adjustRightInd/>
        <w:snapToGrid/>
        <w:spacing w:line="590" w:lineRule="exact"/>
        <w:ind w:firstLine="640" w:firstLineChars="200"/>
        <w:jc w:val="both"/>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（五）法律、法规、规章规定的其他职责。</w:t>
      </w:r>
    </w:p>
    <w:p>
      <w:pPr>
        <w:pStyle w:val="5"/>
        <w:keepNext w:val="0"/>
        <w:keepLines w:val="0"/>
        <w:pageBreakBefore w:val="0"/>
        <w:widowControl w:val="0"/>
        <w:kinsoku/>
        <w:wordWrap/>
        <w:overflowPunct w:val="0"/>
        <w:topLinePunct/>
        <w:autoSpaceDE/>
        <w:autoSpaceDN/>
        <w:bidi w:val="0"/>
        <w:adjustRightInd/>
        <w:snapToGrid/>
        <w:spacing w:line="590" w:lineRule="exact"/>
        <w:ind w:firstLine="640" w:firstLineChars="200"/>
        <w:jc w:val="both"/>
        <w:textAlignment w:val="auto"/>
        <w:rPr>
          <w:rFonts w:hint="eastAsia" w:ascii="Times New Roman" w:hAnsi="Times New Roman" w:eastAsia="仿宋_GB2312" w:cs="仿宋_GB2312"/>
          <w:sz w:val="32"/>
          <w:szCs w:val="32"/>
          <w:highlight w:val="none"/>
        </w:rPr>
      </w:pPr>
    </w:p>
    <w:p>
      <w:pPr>
        <w:pStyle w:val="5"/>
        <w:keepNext w:val="0"/>
        <w:keepLines w:val="0"/>
        <w:pageBreakBefore w:val="0"/>
        <w:widowControl w:val="0"/>
        <w:shd w:val="clear" w:color="auto" w:fill="FFFFFF"/>
        <w:kinsoku/>
        <w:wordWrap/>
        <w:overflowPunct w:val="0"/>
        <w:topLinePunct/>
        <w:autoSpaceDE/>
        <w:autoSpaceDN/>
        <w:bidi w:val="0"/>
        <w:adjustRightInd/>
        <w:snapToGrid/>
        <w:spacing w:line="590" w:lineRule="exact"/>
        <w:ind w:firstLine="0" w:firstLineChars="0"/>
        <w:jc w:val="center"/>
        <w:textAlignment w:val="auto"/>
        <w:rPr>
          <w:rFonts w:hint="eastAsia" w:ascii="Times New Roman" w:hAnsi="Times New Roman" w:eastAsia="黑体" w:cs="黑体"/>
          <w:b w:val="0"/>
          <w:bCs w:val="0"/>
          <w:sz w:val="32"/>
          <w:szCs w:val="32"/>
          <w:highlight w:val="none"/>
        </w:rPr>
      </w:pPr>
      <w:r>
        <w:rPr>
          <w:rFonts w:hint="eastAsia" w:ascii="Times New Roman" w:hAnsi="Times New Roman" w:eastAsia="黑体" w:cs="黑体"/>
          <w:b w:val="0"/>
          <w:bCs w:val="0"/>
          <w:sz w:val="32"/>
          <w:szCs w:val="32"/>
          <w:highlight w:val="none"/>
          <w:lang w:eastAsia="zh-CN"/>
        </w:rPr>
        <w:t>第三章　</w:t>
      </w:r>
      <w:r>
        <w:rPr>
          <w:rFonts w:hint="eastAsia" w:ascii="Times New Roman" w:hAnsi="Times New Roman" w:eastAsia="黑体" w:cs="黑体"/>
          <w:b w:val="0"/>
          <w:bCs w:val="0"/>
          <w:sz w:val="32"/>
          <w:szCs w:val="32"/>
          <w:highlight w:val="none"/>
        </w:rPr>
        <w:t>使用管理</w:t>
      </w:r>
    </w:p>
    <w:p>
      <w:pPr>
        <w:pStyle w:val="5"/>
        <w:keepNext w:val="0"/>
        <w:keepLines w:val="0"/>
        <w:pageBreakBefore w:val="0"/>
        <w:widowControl w:val="0"/>
        <w:kinsoku/>
        <w:wordWrap/>
        <w:overflowPunct w:val="0"/>
        <w:topLinePunct/>
        <w:autoSpaceDE/>
        <w:autoSpaceDN/>
        <w:bidi w:val="0"/>
        <w:adjustRightInd/>
        <w:snapToGrid/>
        <w:spacing w:line="590" w:lineRule="exact"/>
        <w:ind w:firstLine="640" w:firstLineChars="200"/>
        <w:jc w:val="both"/>
        <w:textAlignment w:val="auto"/>
        <w:rPr>
          <w:rFonts w:hint="eastAsia" w:ascii="Times New Roman" w:hAnsi="Times New Roman" w:eastAsia="仿宋_GB2312" w:cs="仿宋_GB2312"/>
          <w:sz w:val="32"/>
          <w:szCs w:val="32"/>
          <w:highlight w:val="none"/>
        </w:rPr>
      </w:pPr>
      <w:r>
        <w:rPr>
          <w:rFonts w:hint="eastAsia" w:ascii="Times New Roman" w:hAnsi="Times New Roman" w:eastAsia="楷体_GB2312" w:cs="楷体_GB2312"/>
          <w:b w:val="0"/>
          <w:bCs w:val="0"/>
          <w:sz w:val="32"/>
          <w:szCs w:val="32"/>
          <w:highlight w:val="none"/>
        </w:rPr>
        <w:t>第十条</w:t>
      </w:r>
      <w:r>
        <w:rPr>
          <w:rFonts w:hint="eastAsia" w:ascii="Times New Roman" w:hAnsi="Times New Roman" w:eastAsia="仿宋_GB2312" w:cs="仿宋_GB2312"/>
          <w:sz w:val="32"/>
          <w:szCs w:val="32"/>
          <w:highlight w:val="none"/>
          <w:lang w:eastAsia="zh-CN"/>
        </w:rPr>
        <w:t>　</w:t>
      </w:r>
      <w:r>
        <w:rPr>
          <w:rFonts w:hint="eastAsia" w:ascii="Times New Roman" w:hAnsi="Times New Roman" w:eastAsia="仿宋_GB2312" w:cs="仿宋_GB2312"/>
          <w:sz w:val="32"/>
          <w:szCs w:val="32"/>
          <w:highlight w:val="none"/>
        </w:rPr>
        <w:t>市主管部门应根据产业政策编实编细预算，专项资金预算对应测算到具体政策。市财政局根据市主管部门编制的专项资金预算，结合专项资金年度预算，合理确定市主管部门专项资金预算总额。市主管部门编制预算时同步编制政策绩效目标。</w:t>
      </w:r>
    </w:p>
    <w:p>
      <w:pPr>
        <w:pStyle w:val="5"/>
        <w:keepNext w:val="0"/>
        <w:keepLines w:val="0"/>
        <w:pageBreakBefore w:val="0"/>
        <w:widowControl w:val="0"/>
        <w:kinsoku/>
        <w:wordWrap/>
        <w:overflowPunct w:val="0"/>
        <w:topLinePunct/>
        <w:autoSpaceDE/>
        <w:autoSpaceDN/>
        <w:bidi w:val="0"/>
        <w:adjustRightInd/>
        <w:snapToGrid/>
        <w:spacing w:line="590" w:lineRule="exact"/>
        <w:ind w:firstLine="640" w:firstLineChars="200"/>
        <w:jc w:val="both"/>
        <w:textAlignment w:val="auto"/>
        <w:rPr>
          <w:rFonts w:hint="eastAsia" w:ascii="Times New Roman" w:hAnsi="Times New Roman" w:eastAsia="仿宋_GB2312" w:cs="仿宋_GB2312"/>
          <w:sz w:val="32"/>
          <w:szCs w:val="32"/>
          <w:highlight w:val="none"/>
        </w:rPr>
      </w:pPr>
      <w:r>
        <w:rPr>
          <w:rFonts w:hint="eastAsia" w:ascii="Times New Roman" w:hAnsi="Times New Roman" w:eastAsia="楷体_GB2312" w:cs="楷体_GB2312"/>
          <w:b w:val="0"/>
          <w:bCs w:val="0"/>
          <w:sz w:val="32"/>
          <w:szCs w:val="32"/>
          <w:highlight w:val="none"/>
        </w:rPr>
        <w:t>第十一条</w:t>
      </w:r>
      <w:bookmarkStart w:id="0" w:name="_Hlk154830236"/>
      <w:r>
        <w:rPr>
          <w:rFonts w:hint="eastAsia" w:ascii="Times New Roman" w:hAnsi="Times New Roman" w:eastAsia="仿宋_GB2312" w:cs="仿宋_GB2312"/>
          <w:sz w:val="32"/>
          <w:szCs w:val="32"/>
          <w:highlight w:val="none"/>
          <w:lang w:eastAsia="zh-CN"/>
        </w:rPr>
        <w:t>　</w:t>
      </w:r>
      <w:r>
        <w:rPr>
          <w:rFonts w:hint="eastAsia" w:ascii="Times New Roman" w:hAnsi="Times New Roman" w:eastAsia="仿宋_GB2312" w:cs="仿宋_GB2312"/>
          <w:sz w:val="32"/>
          <w:szCs w:val="32"/>
          <w:highlight w:val="none"/>
        </w:rPr>
        <w:t>年度开始，市主管部门应严格执行预算。若遇政策调整等特殊情况，原则上由市主管部门在其专项资金预算总额内统筹调剂。</w:t>
      </w:r>
      <w:bookmarkEnd w:id="0"/>
      <w:r>
        <w:rPr>
          <w:rFonts w:hint="eastAsia" w:ascii="Times New Roman" w:hAnsi="Times New Roman" w:eastAsia="仿宋_GB2312" w:cs="仿宋_GB2312"/>
          <w:sz w:val="32"/>
          <w:szCs w:val="32"/>
          <w:highlight w:val="none"/>
        </w:rPr>
        <w:t>市主管部门专项资金预算总额调整，按程序报市政府批准后执行。</w:t>
      </w:r>
    </w:p>
    <w:p>
      <w:pPr>
        <w:pStyle w:val="5"/>
        <w:keepNext w:val="0"/>
        <w:keepLines w:val="0"/>
        <w:pageBreakBefore w:val="0"/>
        <w:widowControl w:val="0"/>
        <w:kinsoku/>
        <w:wordWrap/>
        <w:overflowPunct w:val="0"/>
        <w:topLinePunct/>
        <w:autoSpaceDE/>
        <w:autoSpaceDN/>
        <w:bidi w:val="0"/>
        <w:adjustRightInd/>
        <w:snapToGrid/>
        <w:spacing w:line="590" w:lineRule="exact"/>
        <w:ind w:firstLine="640" w:firstLineChars="200"/>
        <w:jc w:val="both"/>
        <w:textAlignment w:val="auto"/>
        <w:rPr>
          <w:rFonts w:hint="eastAsia" w:ascii="Times New Roman" w:hAnsi="Times New Roman" w:eastAsia="仿宋_GB2312" w:cs="仿宋_GB2312"/>
          <w:sz w:val="32"/>
          <w:szCs w:val="32"/>
          <w:highlight w:val="none"/>
        </w:rPr>
      </w:pPr>
      <w:r>
        <w:rPr>
          <w:rFonts w:hint="eastAsia" w:ascii="Times New Roman" w:hAnsi="Times New Roman" w:eastAsia="楷体_GB2312" w:cs="楷体_GB2312"/>
          <w:b w:val="0"/>
          <w:bCs w:val="0"/>
          <w:sz w:val="32"/>
          <w:szCs w:val="32"/>
          <w:highlight w:val="none"/>
        </w:rPr>
        <w:t>第十二条</w:t>
      </w:r>
      <w:r>
        <w:rPr>
          <w:rFonts w:hint="eastAsia" w:ascii="Times New Roman" w:hAnsi="Times New Roman" w:eastAsia="仿宋_GB2312" w:cs="仿宋_GB2312"/>
          <w:sz w:val="32"/>
          <w:szCs w:val="32"/>
          <w:highlight w:val="none"/>
          <w:lang w:eastAsia="zh-CN"/>
        </w:rPr>
        <w:t>　</w:t>
      </w:r>
      <w:r>
        <w:rPr>
          <w:rFonts w:hint="eastAsia" w:ascii="Times New Roman" w:hAnsi="Times New Roman" w:eastAsia="仿宋_GB2312" w:cs="仿宋_GB2312"/>
          <w:sz w:val="32"/>
          <w:szCs w:val="32"/>
          <w:highlight w:val="none"/>
        </w:rPr>
        <w:t>认定类项目是指市级产业政策有明确规定，被市级及以上部门认定就给予定额奖励（补助）的项目，主要包括资格、资质、示范点等认定类项目和市级以上奖补本级配套项目。认定类项目按照以下程序兑现：</w:t>
      </w:r>
    </w:p>
    <w:p>
      <w:pPr>
        <w:pStyle w:val="5"/>
        <w:keepNext w:val="0"/>
        <w:keepLines w:val="0"/>
        <w:pageBreakBefore w:val="0"/>
        <w:widowControl w:val="0"/>
        <w:kinsoku/>
        <w:wordWrap/>
        <w:overflowPunct w:val="0"/>
        <w:topLinePunct/>
        <w:autoSpaceDE/>
        <w:autoSpaceDN/>
        <w:bidi w:val="0"/>
        <w:adjustRightInd/>
        <w:snapToGrid/>
        <w:spacing w:line="590" w:lineRule="exact"/>
        <w:ind w:firstLine="640" w:firstLineChars="200"/>
        <w:jc w:val="both"/>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为加快兑现进度，对资助条件明确、资助标准确定的认定类项目，实施项目承担单位免申报、市主管部门“即申即兑”</w:t>
      </w:r>
      <w:r>
        <w:rPr>
          <w:rFonts w:hint="eastAsia" w:eastAsia="仿宋_GB2312" w:cs="仿宋_GB2312"/>
          <w:color w:val="auto"/>
          <w:sz w:val="32"/>
          <w:szCs w:val="32"/>
          <w:highlight w:val="none"/>
          <w:lang w:eastAsia="zh-CN"/>
        </w:rPr>
        <w:t>方案</w:t>
      </w:r>
      <w:r>
        <w:rPr>
          <w:rFonts w:hint="eastAsia" w:ascii="Times New Roman" w:hAnsi="Times New Roman" w:eastAsia="仿宋_GB2312" w:cs="仿宋_GB2312"/>
          <w:sz w:val="32"/>
          <w:szCs w:val="32"/>
          <w:highlight w:val="none"/>
        </w:rPr>
        <w:t>。</w:t>
      </w:r>
    </w:p>
    <w:p>
      <w:pPr>
        <w:pStyle w:val="5"/>
        <w:keepNext w:val="0"/>
        <w:keepLines w:val="0"/>
        <w:pageBreakBefore w:val="0"/>
        <w:widowControl w:val="0"/>
        <w:kinsoku/>
        <w:wordWrap/>
        <w:overflowPunct w:val="0"/>
        <w:topLinePunct/>
        <w:autoSpaceDE/>
        <w:autoSpaceDN/>
        <w:bidi w:val="0"/>
        <w:adjustRightInd/>
        <w:snapToGrid/>
        <w:spacing w:line="590" w:lineRule="exact"/>
        <w:ind w:firstLine="640" w:firstLineChars="200"/>
        <w:jc w:val="both"/>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市主管部门收到有关认定文件后，履行信用审查等程序，审定符合兑现条件的项目，经内部决策后出具书面审定意见，向市财政局发出拨款通知。市财政局根据审定意见等相关材料向主管部门下达资金拨付计划，主管部门在</w:t>
      </w:r>
      <w:r>
        <w:rPr>
          <w:rFonts w:hint="eastAsia" w:eastAsia="仿宋_GB2312" w:cs="仿宋_GB2312"/>
          <w:sz w:val="32"/>
          <w:szCs w:val="32"/>
          <w:highlight w:val="none"/>
          <w:lang w:val="en-US" w:eastAsia="zh-CN"/>
        </w:rPr>
        <w:t>5</w:t>
      </w:r>
      <w:r>
        <w:rPr>
          <w:rFonts w:hint="eastAsia" w:ascii="Times New Roman" w:hAnsi="Times New Roman" w:eastAsia="仿宋_GB2312" w:cs="仿宋_GB2312"/>
          <w:sz w:val="32"/>
          <w:szCs w:val="32"/>
          <w:highlight w:val="none"/>
        </w:rPr>
        <w:t>个工作日内将资金拨付至项目承担单位。</w:t>
      </w:r>
    </w:p>
    <w:p>
      <w:pPr>
        <w:pStyle w:val="5"/>
        <w:keepNext w:val="0"/>
        <w:keepLines w:val="0"/>
        <w:pageBreakBefore w:val="0"/>
        <w:widowControl w:val="0"/>
        <w:kinsoku/>
        <w:wordWrap/>
        <w:overflowPunct w:val="0"/>
        <w:topLinePunct/>
        <w:autoSpaceDE/>
        <w:autoSpaceDN/>
        <w:bidi w:val="0"/>
        <w:adjustRightInd/>
        <w:snapToGrid/>
        <w:spacing w:line="590" w:lineRule="exact"/>
        <w:ind w:firstLine="640" w:firstLineChars="200"/>
        <w:jc w:val="both"/>
        <w:textAlignment w:val="auto"/>
        <w:rPr>
          <w:rFonts w:hint="eastAsia" w:ascii="Times New Roman" w:hAnsi="Times New Roman" w:eastAsia="仿宋_GB2312" w:cs="仿宋_GB2312"/>
          <w:sz w:val="32"/>
          <w:szCs w:val="32"/>
          <w:highlight w:val="none"/>
        </w:rPr>
      </w:pPr>
      <w:r>
        <w:rPr>
          <w:rFonts w:hint="eastAsia" w:ascii="Times New Roman" w:hAnsi="Times New Roman" w:eastAsia="楷体_GB2312" w:cs="楷体_GB2312"/>
          <w:b w:val="0"/>
          <w:bCs w:val="0"/>
          <w:sz w:val="32"/>
          <w:szCs w:val="32"/>
          <w:highlight w:val="none"/>
        </w:rPr>
        <w:t>第十三条</w:t>
      </w:r>
      <w:r>
        <w:rPr>
          <w:rFonts w:hint="eastAsia" w:ascii="Times New Roman" w:hAnsi="Times New Roman" w:eastAsia="仿宋_GB2312" w:cs="仿宋_GB2312"/>
          <w:sz w:val="32"/>
          <w:szCs w:val="32"/>
          <w:highlight w:val="none"/>
          <w:lang w:eastAsia="zh-CN"/>
        </w:rPr>
        <w:t>　</w:t>
      </w:r>
      <w:r>
        <w:rPr>
          <w:rFonts w:hint="eastAsia" w:ascii="Times New Roman" w:hAnsi="Times New Roman" w:eastAsia="仿宋_GB2312" w:cs="仿宋_GB2312"/>
          <w:sz w:val="32"/>
          <w:szCs w:val="32"/>
          <w:highlight w:val="none"/>
        </w:rPr>
        <w:t>审核类项目是指根据产业政策规定，需要经过市主管部门组织申报、审核、验收才能确定是否符合兑现条件的项目。审核类项目按照以下流程兑现：</w:t>
      </w:r>
    </w:p>
    <w:p>
      <w:pPr>
        <w:pStyle w:val="5"/>
        <w:keepNext w:val="0"/>
        <w:keepLines w:val="0"/>
        <w:pageBreakBefore w:val="0"/>
        <w:widowControl w:val="0"/>
        <w:kinsoku/>
        <w:wordWrap/>
        <w:overflowPunct w:val="0"/>
        <w:topLinePunct/>
        <w:autoSpaceDE/>
        <w:autoSpaceDN/>
        <w:bidi w:val="0"/>
        <w:adjustRightInd/>
        <w:snapToGrid/>
        <w:spacing w:line="590" w:lineRule="exact"/>
        <w:ind w:firstLine="640" w:firstLineChars="200"/>
        <w:jc w:val="both"/>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一）发布项目申报通知（指南）。市主管部门根据年度预算安排，在市政府门户网站上发布政策和申报通知（指南）。市主管部门年初应制定项目组织计划，依据各类项目特点，明确组织项目申报的起止时间，及时组织项目申报。</w:t>
      </w:r>
    </w:p>
    <w:p>
      <w:pPr>
        <w:pStyle w:val="5"/>
        <w:keepNext w:val="0"/>
        <w:keepLines w:val="0"/>
        <w:pageBreakBefore w:val="0"/>
        <w:widowControl w:val="0"/>
        <w:kinsoku/>
        <w:wordWrap/>
        <w:overflowPunct w:val="0"/>
        <w:topLinePunct/>
        <w:autoSpaceDE/>
        <w:autoSpaceDN/>
        <w:bidi w:val="0"/>
        <w:adjustRightInd/>
        <w:snapToGrid/>
        <w:spacing w:line="590" w:lineRule="exact"/>
        <w:ind w:firstLine="640" w:firstLineChars="200"/>
        <w:jc w:val="both"/>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（二）受理项目申报。项目申报单位按照项目申报通知（指南）要求及时申报项目，</w:t>
      </w:r>
      <w:r>
        <w:rPr>
          <w:rFonts w:hint="eastAsia" w:eastAsia="仿宋_GB2312" w:cs="仿宋_GB2312"/>
          <w:sz w:val="32"/>
          <w:szCs w:val="32"/>
          <w:highlight w:val="none"/>
          <w:lang w:eastAsia="zh-CN"/>
        </w:rPr>
        <w:t>对需要</w:t>
      </w:r>
      <w:r>
        <w:rPr>
          <w:rFonts w:hint="eastAsia" w:ascii="Times New Roman" w:hAnsi="Times New Roman" w:eastAsia="仿宋_GB2312" w:cs="仿宋_GB2312"/>
          <w:sz w:val="32"/>
          <w:szCs w:val="32"/>
          <w:highlight w:val="none"/>
        </w:rPr>
        <w:t>区镇</w:t>
      </w:r>
      <w:r>
        <w:rPr>
          <w:rFonts w:hint="eastAsia" w:eastAsia="仿宋_GB2312" w:cs="仿宋_GB2312"/>
          <w:sz w:val="32"/>
          <w:szCs w:val="32"/>
          <w:highlight w:val="none"/>
          <w:lang w:eastAsia="zh-CN"/>
        </w:rPr>
        <w:t>初审的项目</w:t>
      </w:r>
      <w:r>
        <w:rPr>
          <w:rFonts w:hint="eastAsia" w:ascii="Times New Roman" w:hAnsi="Times New Roman" w:eastAsia="仿宋_GB2312" w:cs="仿宋_GB2312"/>
          <w:sz w:val="32"/>
          <w:szCs w:val="32"/>
          <w:highlight w:val="none"/>
        </w:rPr>
        <w:t>，具体受理方式、初审内容、初审职责等由市主管部门在申报通知（指南）中明确。</w:t>
      </w:r>
    </w:p>
    <w:p>
      <w:pPr>
        <w:keepNext w:val="0"/>
        <w:keepLines w:val="0"/>
        <w:pageBreakBefore w:val="0"/>
        <w:widowControl w:val="0"/>
        <w:kinsoku/>
        <w:wordWrap/>
        <w:overflowPunct w:val="0"/>
        <w:topLinePunct/>
        <w:autoSpaceDE/>
        <w:autoSpaceDN/>
        <w:bidi w:val="0"/>
        <w:adjustRightInd/>
        <w:snapToGrid/>
        <w:spacing w:line="590" w:lineRule="exact"/>
        <w:ind w:firstLine="640" w:firstLineChars="200"/>
        <w:jc w:val="both"/>
        <w:textAlignment w:val="auto"/>
        <w:rPr>
          <w:rFonts w:hint="eastAsia" w:ascii="Times New Roman" w:hAnsi="Times New Roman" w:eastAsia="仿宋_GB2312" w:cs="仿宋_GB2312"/>
          <w:sz w:val="32"/>
          <w:szCs w:val="32"/>
          <w:highlight w:val="none"/>
          <w:lang w:eastAsia="zh-CN"/>
        </w:rPr>
      </w:pPr>
      <w:r>
        <w:rPr>
          <w:rFonts w:hint="eastAsia" w:ascii="Times New Roman" w:hAnsi="Times New Roman" w:eastAsia="仿宋_GB2312" w:cs="仿宋_GB2312"/>
          <w:sz w:val="32"/>
          <w:szCs w:val="32"/>
          <w:highlight w:val="none"/>
        </w:rPr>
        <w:t>（三）组织项目审定。市主管部门按照专项资金管理办法规定和本部门专项资金管理决策程序组织项目审核（验收），对项目申报材料、实施情况、初审情况等进行审核认定。</w:t>
      </w:r>
    </w:p>
    <w:p>
      <w:pPr>
        <w:keepNext w:val="0"/>
        <w:keepLines w:val="0"/>
        <w:pageBreakBefore w:val="0"/>
        <w:widowControl w:val="0"/>
        <w:kinsoku/>
        <w:wordWrap/>
        <w:overflowPunct w:val="0"/>
        <w:topLinePunct/>
        <w:autoSpaceDE/>
        <w:autoSpaceDN/>
        <w:bidi w:val="0"/>
        <w:adjustRightInd/>
        <w:snapToGrid/>
        <w:spacing w:line="590" w:lineRule="exact"/>
        <w:ind w:firstLine="640" w:firstLineChars="200"/>
        <w:jc w:val="both"/>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（四）专项资金兑现。市主管部门履行内部决策程序</w:t>
      </w:r>
      <w:r>
        <w:rPr>
          <w:rFonts w:hint="eastAsia" w:ascii="Times New Roman" w:hAnsi="Times New Roman" w:eastAsia="仿宋_GB2312" w:cs="仿宋_GB2312"/>
          <w:sz w:val="32"/>
          <w:szCs w:val="32"/>
          <w:highlight w:val="none"/>
          <w:lang w:eastAsia="zh-CN"/>
        </w:rPr>
        <w:t>出具审定意见</w:t>
      </w:r>
      <w:r>
        <w:rPr>
          <w:rFonts w:hint="eastAsia" w:ascii="Times New Roman" w:hAnsi="Times New Roman" w:eastAsia="仿宋_GB2312" w:cs="仿宋_GB2312"/>
          <w:sz w:val="32"/>
          <w:szCs w:val="32"/>
          <w:highlight w:val="none"/>
        </w:rPr>
        <w:t>，</w:t>
      </w:r>
      <w:r>
        <w:rPr>
          <w:rFonts w:hint="eastAsia" w:ascii="Times New Roman" w:hAnsi="Times New Roman" w:eastAsia="仿宋_GB2312" w:cs="仿宋_GB2312"/>
          <w:sz w:val="32"/>
          <w:szCs w:val="32"/>
          <w:highlight w:val="none"/>
          <w:lang w:eastAsia="zh-CN"/>
        </w:rPr>
        <w:t>向市财政局发出拨款通知</w:t>
      </w:r>
      <w:r>
        <w:rPr>
          <w:rFonts w:hint="eastAsia" w:ascii="Times New Roman" w:hAnsi="Times New Roman" w:eastAsia="仿宋_GB2312" w:cs="仿宋_GB2312"/>
          <w:sz w:val="32"/>
          <w:szCs w:val="32"/>
          <w:highlight w:val="none"/>
        </w:rPr>
        <w:t>，</w:t>
      </w:r>
      <w:r>
        <w:rPr>
          <w:rFonts w:hint="eastAsia" w:ascii="Times New Roman" w:hAnsi="Times New Roman" w:eastAsia="仿宋_GB2312" w:cs="仿宋_GB2312"/>
          <w:sz w:val="32"/>
          <w:szCs w:val="32"/>
          <w:highlight w:val="none"/>
          <w:lang w:eastAsia="zh-CN"/>
        </w:rPr>
        <w:t>在收到市财政局回复后，通过</w:t>
      </w:r>
      <w:r>
        <w:rPr>
          <w:rFonts w:hint="eastAsia" w:ascii="Times New Roman" w:hAnsi="Times New Roman" w:eastAsia="仿宋_GB2312" w:cs="仿宋_GB2312"/>
          <w:sz w:val="32"/>
          <w:szCs w:val="32"/>
          <w:highlight w:val="none"/>
        </w:rPr>
        <w:t>市政府门户网站对外进行公示，公示期一般不少于10</w:t>
      </w:r>
      <w:r>
        <w:rPr>
          <w:rFonts w:hint="eastAsia" w:ascii="Times New Roman" w:hAnsi="Times New Roman" w:eastAsia="仿宋_GB2312" w:cs="仿宋_GB2312"/>
          <w:sz w:val="32"/>
          <w:szCs w:val="32"/>
          <w:highlight w:val="none"/>
          <w:lang w:eastAsia="zh-CN"/>
        </w:rPr>
        <w:t>日（涉密事项除外）</w:t>
      </w:r>
      <w:r>
        <w:rPr>
          <w:rFonts w:hint="eastAsia" w:ascii="Times New Roman" w:hAnsi="Times New Roman" w:eastAsia="仿宋_GB2312" w:cs="仿宋_GB2312"/>
          <w:sz w:val="32"/>
          <w:szCs w:val="32"/>
          <w:highlight w:val="none"/>
        </w:rPr>
        <w:t>。公示期满无异议，</w:t>
      </w:r>
      <w:bookmarkStart w:id="1" w:name="_Hlk140437544"/>
      <w:r>
        <w:rPr>
          <w:rFonts w:hint="eastAsia" w:ascii="Times New Roman" w:hAnsi="Times New Roman" w:eastAsia="仿宋_GB2312" w:cs="仿宋_GB2312"/>
          <w:sz w:val="32"/>
          <w:szCs w:val="32"/>
          <w:highlight w:val="none"/>
        </w:rPr>
        <w:t>市财政局根据</w:t>
      </w:r>
      <w:r>
        <w:rPr>
          <w:rFonts w:hint="eastAsia" w:ascii="Times New Roman" w:hAnsi="Times New Roman" w:eastAsia="仿宋_GB2312" w:cs="仿宋_GB2312"/>
          <w:sz w:val="32"/>
          <w:szCs w:val="32"/>
          <w:highlight w:val="none"/>
          <w:lang w:eastAsia="zh-CN"/>
        </w:rPr>
        <w:t>审定意见</w:t>
      </w:r>
      <w:r>
        <w:rPr>
          <w:rFonts w:hint="eastAsia" w:ascii="Times New Roman" w:hAnsi="Times New Roman" w:eastAsia="仿宋_GB2312" w:cs="仿宋_GB2312"/>
          <w:sz w:val="32"/>
          <w:szCs w:val="32"/>
          <w:highlight w:val="none"/>
        </w:rPr>
        <w:t>等</w:t>
      </w:r>
      <w:r>
        <w:rPr>
          <w:rFonts w:hint="eastAsia" w:ascii="Times New Roman" w:hAnsi="Times New Roman" w:eastAsia="仿宋_GB2312" w:cs="仿宋_GB2312"/>
          <w:sz w:val="32"/>
          <w:szCs w:val="32"/>
          <w:highlight w:val="none"/>
          <w:lang w:eastAsia="zh-CN"/>
        </w:rPr>
        <w:t>相关材料</w:t>
      </w:r>
      <w:r>
        <w:rPr>
          <w:rFonts w:hint="eastAsia" w:ascii="Times New Roman" w:hAnsi="Times New Roman" w:eastAsia="仿宋_GB2312" w:cs="仿宋_GB2312"/>
          <w:sz w:val="32"/>
          <w:szCs w:val="32"/>
          <w:highlight w:val="none"/>
        </w:rPr>
        <w:t>向主管部门下达资金拨付计划，主管部门在</w:t>
      </w:r>
      <w:r>
        <w:rPr>
          <w:rFonts w:hint="eastAsia" w:ascii="Times New Roman" w:hAnsi="Times New Roman" w:eastAsia="仿宋_GB2312" w:cs="仿宋_GB2312"/>
          <w:sz w:val="32"/>
          <w:szCs w:val="32"/>
          <w:highlight w:val="none"/>
          <w:lang w:val="en-US" w:eastAsia="zh-CN"/>
        </w:rPr>
        <w:t>5</w:t>
      </w:r>
      <w:r>
        <w:rPr>
          <w:rFonts w:hint="eastAsia" w:ascii="Times New Roman" w:hAnsi="Times New Roman" w:eastAsia="仿宋_GB2312" w:cs="仿宋_GB2312"/>
          <w:sz w:val="32"/>
          <w:szCs w:val="32"/>
          <w:highlight w:val="none"/>
        </w:rPr>
        <w:t>个工作日内将资金拨付至项目承担单位。需分期拨付的项目资金，按项目合同约定拨付。</w:t>
      </w:r>
      <w:r>
        <w:rPr>
          <w:rFonts w:hint="eastAsia" w:ascii="Times New Roman" w:hAnsi="Times New Roman" w:eastAsia="仿宋_GB2312" w:cs="仿宋_GB2312"/>
          <w:sz w:val="32"/>
          <w:szCs w:val="32"/>
          <w:highlight w:val="none"/>
          <w:lang w:eastAsia="zh-CN"/>
        </w:rPr>
        <w:t>如遇</w:t>
      </w:r>
      <w:r>
        <w:rPr>
          <w:rFonts w:hint="eastAsia" w:ascii="Times New Roman" w:hAnsi="Times New Roman" w:eastAsia="仿宋_GB2312" w:cs="仿宋_GB2312"/>
          <w:sz w:val="32"/>
          <w:szCs w:val="32"/>
          <w:highlight w:val="none"/>
        </w:rPr>
        <w:t>特殊情况市财政局可凭主管部门提供的书面拨款通知及上述审批材料直接将资金拨付至项目承担单位。</w:t>
      </w:r>
      <w:bookmarkEnd w:id="1"/>
    </w:p>
    <w:p>
      <w:pPr>
        <w:pStyle w:val="5"/>
        <w:keepNext w:val="0"/>
        <w:keepLines w:val="0"/>
        <w:pageBreakBefore w:val="0"/>
        <w:widowControl w:val="0"/>
        <w:kinsoku/>
        <w:wordWrap/>
        <w:overflowPunct w:val="0"/>
        <w:topLinePunct/>
        <w:autoSpaceDE/>
        <w:autoSpaceDN/>
        <w:bidi w:val="0"/>
        <w:adjustRightInd/>
        <w:snapToGrid/>
        <w:spacing w:line="590" w:lineRule="exact"/>
        <w:ind w:firstLine="640" w:firstLineChars="200"/>
        <w:jc w:val="both"/>
        <w:textAlignment w:val="auto"/>
        <w:rPr>
          <w:rFonts w:hint="eastAsia" w:ascii="Times New Roman" w:hAnsi="Times New Roman" w:eastAsia="仿宋_GB2312" w:cs="仿宋_GB2312"/>
          <w:sz w:val="32"/>
          <w:szCs w:val="32"/>
          <w:highlight w:val="none"/>
        </w:rPr>
      </w:pPr>
      <w:r>
        <w:rPr>
          <w:rFonts w:hint="eastAsia" w:ascii="Times New Roman" w:hAnsi="Times New Roman" w:eastAsia="楷体_GB2312" w:cs="楷体_GB2312"/>
          <w:b w:val="0"/>
          <w:bCs w:val="0"/>
          <w:sz w:val="32"/>
          <w:szCs w:val="32"/>
          <w:highlight w:val="none"/>
        </w:rPr>
        <w:t>第十四条</w:t>
      </w:r>
      <w:r>
        <w:rPr>
          <w:rFonts w:hint="eastAsia" w:ascii="Times New Roman" w:hAnsi="Times New Roman" w:eastAsia="仿宋_GB2312" w:cs="仿宋_GB2312"/>
          <w:sz w:val="32"/>
          <w:szCs w:val="32"/>
          <w:highlight w:val="none"/>
          <w:lang w:eastAsia="zh-CN"/>
        </w:rPr>
        <w:t>　</w:t>
      </w:r>
      <w:r>
        <w:rPr>
          <w:rFonts w:hint="eastAsia" w:ascii="Times New Roman" w:hAnsi="Times New Roman" w:eastAsia="仿宋_GB2312" w:cs="仿宋_GB2312"/>
          <w:sz w:val="32"/>
          <w:szCs w:val="32"/>
          <w:highlight w:val="none"/>
        </w:rPr>
        <w:t>市主管部门受理、审核并提出“一事一议”政策项目的支持建议，报市政府批准。市财政局根据市政府批复等文件向主管部门下达资金拨付计划，主管部门在</w:t>
      </w:r>
      <w:r>
        <w:rPr>
          <w:rFonts w:hint="eastAsia" w:eastAsia="仿宋_GB2312" w:cs="仿宋_GB2312"/>
          <w:sz w:val="32"/>
          <w:szCs w:val="32"/>
          <w:highlight w:val="none"/>
          <w:lang w:val="en-US" w:eastAsia="zh-CN"/>
        </w:rPr>
        <w:t>5</w:t>
      </w:r>
      <w:r>
        <w:rPr>
          <w:rFonts w:hint="eastAsia" w:ascii="Times New Roman" w:hAnsi="Times New Roman" w:eastAsia="仿宋_GB2312" w:cs="仿宋_GB2312"/>
          <w:sz w:val="32"/>
          <w:szCs w:val="32"/>
          <w:highlight w:val="none"/>
        </w:rPr>
        <w:t>个工作日内将资金拨付至项目承担单位。</w:t>
      </w:r>
    </w:p>
    <w:p>
      <w:pPr>
        <w:pStyle w:val="5"/>
        <w:keepNext w:val="0"/>
        <w:keepLines w:val="0"/>
        <w:pageBreakBefore w:val="0"/>
        <w:widowControl w:val="0"/>
        <w:kinsoku/>
        <w:wordWrap/>
        <w:overflowPunct w:val="0"/>
        <w:topLinePunct/>
        <w:autoSpaceDE/>
        <w:autoSpaceDN/>
        <w:bidi w:val="0"/>
        <w:adjustRightInd/>
        <w:snapToGrid/>
        <w:spacing w:line="590" w:lineRule="exact"/>
        <w:ind w:firstLine="640" w:firstLineChars="200"/>
        <w:jc w:val="both"/>
        <w:textAlignment w:val="auto"/>
        <w:rPr>
          <w:rFonts w:hint="eastAsia" w:ascii="Times New Roman" w:hAnsi="Times New Roman" w:eastAsia="仿宋_GB2312" w:cs="仿宋_GB2312"/>
          <w:sz w:val="32"/>
          <w:szCs w:val="32"/>
          <w:highlight w:val="none"/>
          <w:lang w:eastAsia="zh-CN"/>
        </w:rPr>
      </w:pPr>
      <w:r>
        <w:rPr>
          <w:rFonts w:hint="eastAsia" w:ascii="Times New Roman" w:hAnsi="Times New Roman" w:eastAsia="楷体_GB2312" w:cs="楷体_GB2312"/>
          <w:b w:val="0"/>
          <w:bCs w:val="0"/>
          <w:sz w:val="32"/>
          <w:szCs w:val="32"/>
          <w:highlight w:val="none"/>
        </w:rPr>
        <w:t>第十五条</w:t>
      </w:r>
      <w:r>
        <w:rPr>
          <w:rFonts w:hint="eastAsia" w:ascii="Times New Roman" w:hAnsi="Times New Roman" w:eastAsia="仿宋_GB2312" w:cs="仿宋_GB2312"/>
          <w:sz w:val="32"/>
          <w:szCs w:val="32"/>
          <w:highlight w:val="none"/>
          <w:lang w:eastAsia="zh-CN"/>
        </w:rPr>
        <w:t>　</w:t>
      </w:r>
      <w:r>
        <w:rPr>
          <w:rFonts w:hint="eastAsia" w:ascii="Times New Roman" w:hAnsi="Times New Roman" w:eastAsia="仿宋_GB2312" w:cs="仿宋_GB2312"/>
          <w:sz w:val="32"/>
          <w:szCs w:val="32"/>
          <w:highlight w:val="none"/>
        </w:rPr>
        <w:t>市主管部门要及时组织项目申报、审核、报批、拨付，注重专项资金预算的支出进度，</w:t>
      </w:r>
      <w:r>
        <w:rPr>
          <w:rFonts w:hint="eastAsia" w:eastAsia="仿宋_GB2312" w:cs="仿宋_GB2312"/>
          <w:sz w:val="32"/>
          <w:szCs w:val="32"/>
          <w:highlight w:val="none"/>
          <w:lang w:eastAsia="zh-CN"/>
        </w:rPr>
        <w:t>提升</w:t>
      </w:r>
      <w:r>
        <w:rPr>
          <w:rFonts w:hint="eastAsia" w:ascii="Times New Roman" w:hAnsi="Times New Roman" w:eastAsia="仿宋_GB2312" w:cs="仿宋_GB2312"/>
          <w:sz w:val="32"/>
          <w:szCs w:val="32"/>
          <w:highlight w:val="none"/>
        </w:rPr>
        <w:t>专项资金政策的时效性</w:t>
      </w:r>
      <w:r>
        <w:rPr>
          <w:rFonts w:hint="eastAsia" w:eastAsia="仿宋_GB2312" w:cs="仿宋_GB2312"/>
          <w:sz w:val="32"/>
          <w:szCs w:val="32"/>
          <w:highlight w:val="none"/>
          <w:lang w:eastAsia="zh-CN"/>
        </w:rPr>
        <w:t>。</w:t>
      </w:r>
    </w:p>
    <w:p>
      <w:pPr>
        <w:pStyle w:val="5"/>
        <w:keepNext w:val="0"/>
        <w:keepLines w:val="0"/>
        <w:pageBreakBefore w:val="0"/>
        <w:widowControl w:val="0"/>
        <w:kinsoku/>
        <w:wordWrap/>
        <w:overflowPunct w:val="0"/>
        <w:topLinePunct/>
        <w:autoSpaceDE/>
        <w:autoSpaceDN/>
        <w:bidi w:val="0"/>
        <w:adjustRightInd/>
        <w:snapToGrid/>
        <w:spacing w:line="590" w:lineRule="exact"/>
        <w:ind w:firstLine="640" w:firstLineChars="200"/>
        <w:jc w:val="both"/>
        <w:textAlignment w:val="auto"/>
        <w:rPr>
          <w:rFonts w:hint="eastAsia" w:ascii="Times New Roman" w:hAnsi="Times New Roman" w:eastAsia="仿宋_GB2312" w:cs="仿宋_GB2312"/>
          <w:sz w:val="32"/>
          <w:szCs w:val="32"/>
          <w:highlight w:val="none"/>
          <w:lang w:eastAsia="zh-CN"/>
        </w:rPr>
      </w:pPr>
      <w:r>
        <w:rPr>
          <w:rFonts w:hint="eastAsia" w:ascii="Times New Roman" w:hAnsi="Times New Roman" w:eastAsia="楷体_GB2312" w:cs="楷体_GB2312"/>
          <w:b w:val="0"/>
          <w:bCs w:val="0"/>
          <w:sz w:val="32"/>
          <w:szCs w:val="32"/>
          <w:highlight w:val="none"/>
        </w:rPr>
        <w:t>第十六条</w:t>
      </w:r>
      <w:r>
        <w:rPr>
          <w:rFonts w:hint="eastAsia" w:ascii="Times New Roman" w:hAnsi="Times New Roman" w:eastAsia="仿宋_GB2312" w:cs="仿宋_GB2312"/>
          <w:sz w:val="32"/>
          <w:szCs w:val="32"/>
          <w:highlight w:val="none"/>
          <w:lang w:eastAsia="zh-CN"/>
        </w:rPr>
        <w:t>　</w:t>
      </w:r>
      <w:r>
        <w:rPr>
          <w:rFonts w:hint="eastAsia" w:ascii="Times New Roman" w:hAnsi="Times New Roman" w:eastAsia="仿宋_GB2312" w:cs="仿宋_GB2312"/>
          <w:sz w:val="32"/>
          <w:szCs w:val="32"/>
          <w:highlight w:val="none"/>
        </w:rPr>
        <w:t>市主管部门要建立健全项目评审机制，按照公开、公平、公正的</w:t>
      </w:r>
      <w:r>
        <w:rPr>
          <w:rFonts w:hint="eastAsia" w:eastAsia="仿宋_GB2312" w:cs="仿宋_GB2312"/>
          <w:sz w:val="32"/>
          <w:szCs w:val="32"/>
          <w:highlight w:val="none"/>
          <w:lang w:eastAsia="zh-CN"/>
        </w:rPr>
        <w:t>原则</w:t>
      </w:r>
      <w:r>
        <w:rPr>
          <w:rFonts w:hint="eastAsia" w:ascii="Times New Roman" w:hAnsi="Times New Roman" w:eastAsia="仿宋_GB2312" w:cs="仿宋_GB2312"/>
          <w:sz w:val="32"/>
          <w:szCs w:val="32"/>
          <w:highlight w:val="none"/>
        </w:rPr>
        <w:t>审定项目，重点审查项目是否符合政策规定和申报指南的要求，数据是否完整准确，申报主体是否符合信用管理规定等</w:t>
      </w:r>
      <w:r>
        <w:rPr>
          <w:rFonts w:hint="eastAsia" w:eastAsia="仿宋_GB2312" w:cs="仿宋_GB2312"/>
          <w:sz w:val="32"/>
          <w:szCs w:val="32"/>
          <w:highlight w:val="none"/>
          <w:lang w:eastAsia="zh-CN"/>
        </w:rPr>
        <w:t>方面</w:t>
      </w:r>
      <w:r>
        <w:rPr>
          <w:rFonts w:hint="eastAsia" w:ascii="Times New Roman" w:hAnsi="Times New Roman" w:eastAsia="仿宋_GB2312" w:cs="仿宋_GB2312"/>
          <w:sz w:val="32"/>
          <w:szCs w:val="32"/>
          <w:highlight w:val="none"/>
        </w:rPr>
        <w:t>。对确需中介机构或外部专家辅助评审的，市主管部门应当按规范程序抽取，并切实履行项目审核主体职责。</w:t>
      </w:r>
    </w:p>
    <w:p>
      <w:pPr>
        <w:pStyle w:val="5"/>
        <w:keepNext w:val="0"/>
        <w:keepLines w:val="0"/>
        <w:pageBreakBefore w:val="0"/>
        <w:widowControl w:val="0"/>
        <w:kinsoku/>
        <w:wordWrap/>
        <w:overflowPunct w:val="0"/>
        <w:topLinePunct/>
        <w:autoSpaceDE/>
        <w:autoSpaceDN/>
        <w:bidi w:val="0"/>
        <w:adjustRightInd/>
        <w:snapToGrid/>
        <w:spacing w:line="590" w:lineRule="exact"/>
        <w:ind w:firstLine="640" w:firstLineChars="200"/>
        <w:jc w:val="both"/>
        <w:textAlignment w:val="auto"/>
        <w:rPr>
          <w:rFonts w:hint="eastAsia" w:ascii="Times New Roman" w:hAnsi="Times New Roman" w:eastAsia="仿宋_GB2312" w:cs="仿宋_GB2312"/>
          <w:sz w:val="32"/>
          <w:szCs w:val="32"/>
          <w:highlight w:val="none"/>
        </w:rPr>
      </w:pPr>
      <w:r>
        <w:rPr>
          <w:rFonts w:hint="eastAsia" w:ascii="Times New Roman" w:hAnsi="Times New Roman" w:eastAsia="楷体_GB2312" w:cs="楷体_GB2312"/>
          <w:b w:val="0"/>
          <w:bCs w:val="0"/>
          <w:sz w:val="32"/>
          <w:szCs w:val="32"/>
          <w:highlight w:val="none"/>
        </w:rPr>
        <w:t>第十七条</w:t>
      </w:r>
      <w:r>
        <w:rPr>
          <w:rFonts w:hint="eastAsia" w:ascii="Times New Roman" w:hAnsi="Times New Roman" w:eastAsia="仿宋_GB2312" w:cs="仿宋_GB2312"/>
          <w:sz w:val="32"/>
          <w:szCs w:val="32"/>
          <w:highlight w:val="none"/>
          <w:lang w:eastAsia="zh-CN"/>
        </w:rPr>
        <w:t>　</w:t>
      </w:r>
      <w:r>
        <w:rPr>
          <w:rFonts w:hint="eastAsia" w:ascii="Times New Roman" w:hAnsi="Times New Roman" w:eastAsia="仿宋_GB2312" w:cs="仿宋_GB2312"/>
          <w:sz w:val="32"/>
          <w:szCs w:val="32"/>
          <w:highlight w:val="none"/>
        </w:rPr>
        <w:t>在专项资金申报、评审、绩效管理等有关工作中提供服务的中介机构，应当履行规定程序，独立客观发表意见，对报告的真实性、合规性、完整性负责。</w:t>
      </w:r>
    </w:p>
    <w:p>
      <w:pPr>
        <w:pStyle w:val="5"/>
        <w:keepNext w:val="0"/>
        <w:keepLines w:val="0"/>
        <w:pageBreakBefore w:val="0"/>
        <w:widowControl w:val="0"/>
        <w:kinsoku/>
        <w:wordWrap/>
        <w:overflowPunct w:val="0"/>
        <w:topLinePunct/>
        <w:autoSpaceDE/>
        <w:autoSpaceDN/>
        <w:bidi w:val="0"/>
        <w:adjustRightInd/>
        <w:snapToGrid/>
        <w:spacing w:line="590" w:lineRule="exact"/>
        <w:ind w:firstLine="640" w:firstLineChars="200"/>
        <w:jc w:val="both"/>
        <w:textAlignment w:val="auto"/>
        <w:rPr>
          <w:rFonts w:hint="eastAsia" w:ascii="Times New Roman" w:hAnsi="Times New Roman" w:eastAsia="仿宋_GB2312" w:cs="仿宋_GB2312"/>
          <w:sz w:val="32"/>
          <w:szCs w:val="32"/>
          <w:highlight w:val="none"/>
        </w:rPr>
      </w:pPr>
      <w:r>
        <w:rPr>
          <w:rFonts w:hint="eastAsia" w:ascii="Times New Roman" w:hAnsi="Times New Roman" w:eastAsia="楷体_GB2312" w:cs="楷体_GB2312"/>
          <w:b w:val="0"/>
          <w:bCs w:val="0"/>
          <w:sz w:val="32"/>
          <w:szCs w:val="32"/>
          <w:highlight w:val="none"/>
        </w:rPr>
        <w:t>第十八条</w:t>
      </w:r>
      <w:r>
        <w:rPr>
          <w:rFonts w:hint="eastAsia" w:ascii="Times New Roman" w:hAnsi="Times New Roman" w:eastAsia="仿宋_GB2312" w:cs="仿宋_GB2312"/>
          <w:sz w:val="32"/>
          <w:szCs w:val="32"/>
          <w:highlight w:val="none"/>
          <w:lang w:eastAsia="zh-CN"/>
        </w:rPr>
        <w:t>　</w:t>
      </w:r>
      <w:r>
        <w:rPr>
          <w:rFonts w:hint="eastAsia" w:ascii="Times New Roman" w:hAnsi="Times New Roman" w:eastAsia="仿宋_GB2312" w:cs="仿宋_GB2312"/>
          <w:sz w:val="32"/>
          <w:szCs w:val="32"/>
          <w:highlight w:val="none"/>
        </w:rPr>
        <w:t>全面应用信用信息，市主管部门依托市公共信用平台开展信用审查，对失信项目承担主体、社会中介机构及相关责任人员，根据相关规定要求，在市公共信息系统登记失信信息，实施联合惩戒。</w:t>
      </w:r>
    </w:p>
    <w:p>
      <w:pPr>
        <w:pStyle w:val="5"/>
        <w:keepNext w:val="0"/>
        <w:keepLines w:val="0"/>
        <w:pageBreakBefore w:val="0"/>
        <w:widowControl w:val="0"/>
        <w:kinsoku/>
        <w:wordWrap/>
        <w:overflowPunct w:val="0"/>
        <w:topLinePunct/>
        <w:autoSpaceDE/>
        <w:autoSpaceDN/>
        <w:bidi w:val="0"/>
        <w:adjustRightInd/>
        <w:snapToGrid/>
        <w:spacing w:line="590" w:lineRule="exact"/>
        <w:ind w:firstLine="640" w:firstLineChars="200"/>
        <w:jc w:val="both"/>
        <w:textAlignment w:val="auto"/>
        <w:rPr>
          <w:rFonts w:hint="eastAsia" w:ascii="Times New Roman" w:hAnsi="Times New Roman" w:eastAsia="仿宋_GB2312" w:cs="仿宋_GB2312"/>
          <w:sz w:val="32"/>
          <w:szCs w:val="32"/>
          <w:highlight w:val="none"/>
        </w:rPr>
      </w:pPr>
    </w:p>
    <w:p>
      <w:pPr>
        <w:pStyle w:val="5"/>
        <w:keepNext w:val="0"/>
        <w:keepLines w:val="0"/>
        <w:pageBreakBefore w:val="0"/>
        <w:widowControl w:val="0"/>
        <w:shd w:val="clear" w:color="auto" w:fill="FFFFFF"/>
        <w:kinsoku/>
        <w:wordWrap/>
        <w:overflowPunct w:val="0"/>
        <w:topLinePunct/>
        <w:autoSpaceDE/>
        <w:autoSpaceDN/>
        <w:bidi w:val="0"/>
        <w:adjustRightInd/>
        <w:snapToGrid/>
        <w:spacing w:line="590" w:lineRule="exact"/>
        <w:ind w:firstLine="0" w:firstLineChars="0"/>
        <w:jc w:val="center"/>
        <w:textAlignment w:val="auto"/>
        <w:rPr>
          <w:rFonts w:hint="eastAsia" w:ascii="Times New Roman" w:hAnsi="Times New Roman" w:eastAsia="黑体" w:cs="黑体"/>
          <w:b w:val="0"/>
          <w:bCs w:val="0"/>
          <w:sz w:val="32"/>
          <w:szCs w:val="32"/>
          <w:highlight w:val="none"/>
        </w:rPr>
      </w:pPr>
      <w:r>
        <w:rPr>
          <w:rFonts w:hint="eastAsia" w:ascii="Times New Roman" w:hAnsi="Times New Roman" w:eastAsia="黑体" w:cs="黑体"/>
          <w:b w:val="0"/>
          <w:bCs w:val="0"/>
          <w:sz w:val="32"/>
          <w:szCs w:val="32"/>
          <w:highlight w:val="none"/>
          <w:lang w:eastAsia="zh-CN"/>
        </w:rPr>
        <w:t>第四章　</w:t>
      </w:r>
      <w:r>
        <w:rPr>
          <w:rFonts w:hint="eastAsia" w:ascii="Times New Roman" w:hAnsi="Times New Roman" w:eastAsia="黑体" w:cs="黑体"/>
          <w:b w:val="0"/>
          <w:bCs w:val="0"/>
          <w:sz w:val="32"/>
          <w:szCs w:val="32"/>
          <w:highlight w:val="none"/>
        </w:rPr>
        <w:t>绩效管理与监督</w:t>
      </w:r>
    </w:p>
    <w:p>
      <w:pPr>
        <w:pStyle w:val="5"/>
        <w:keepNext w:val="0"/>
        <w:keepLines w:val="0"/>
        <w:pageBreakBefore w:val="0"/>
        <w:widowControl w:val="0"/>
        <w:kinsoku/>
        <w:wordWrap/>
        <w:overflowPunct w:val="0"/>
        <w:topLinePunct/>
        <w:autoSpaceDE/>
        <w:autoSpaceDN/>
        <w:bidi w:val="0"/>
        <w:adjustRightInd/>
        <w:snapToGrid/>
        <w:spacing w:line="590" w:lineRule="exact"/>
        <w:ind w:firstLine="640" w:firstLineChars="200"/>
        <w:jc w:val="both"/>
        <w:textAlignment w:val="auto"/>
        <w:rPr>
          <w:rFonts w:hint="eastAsia" w:ascii="Times New Roman" w:hAnsi="Times New Roman" w:eastAsia="仿宋_GB2312" w:cs="仿宋_GB2312"/>
          <w:sz w:val="32"/>
          <w:szCs w:val="32"/>
          <w:highlight w:val="none"/>
        </w:rPr>
      </w:pPr>
      <w:r>
        <w:rPr>
          <w:rFonts w:hint="eastAsia" w:ascii="Times New Roman" w:hAnsi="Times New Roman" w:eastAsia="楷体_GB2312" w:cs="楷体_GB2312"/>
          <w:b w:val="0"/>
          <w:bCs w:val="0"/>
          <w:sz w:val="32"/>
          <w:szCs w:val="32"/>
          <w:highlight w:val="none"/>
        </w:rPr>
        <w:t>第十九条</w:t>
      </w:r>
      <w:r>
        <w:rPr>
          <w:rFonts w:hint="eastAsia" w:ascii="Times New Roman" w:hAnsi="Times New Roman" w:eastAsia="仿宋_GB2312" w:cs="仿宋_GB2312"/>
          <w:sz w:val="32"/>
          <w:szCs w:val="32"/>
          <w:highlight w:val="none"/>
          <w:lang w:eastAsia="zh-CN"/>
        </w:rPr>
        <w:t>　</w:t>
      </w:r>
      <w:r>
        <w:rPr>
          <w:rFonts w:hint="eastAsia" w:ascii="Times New Roman" w:hAnsi="Times New Roman" w:eastAsia="仿宋_GB2312" w:cs="仿宋_GB2312"/>
          <w:sz w:val="32"/>
          <w:szCs w:val="32"/>
          <w:highlight w:val="none"/>
        </w:rPr>
        <w:t>市主管部门和财政部门按照全面实施预算绩效管理</w:t>
      </w:r>
      <w:r>
        <w:rPr>
          <w:rFonts w:hint="eastAsia" w:eastAsia="仿宋_GB2312" w:cs="仿宋_GB2312"/>
          <w:sz w:val="32"/>
          <w:szCs w:val="32"/>
          <w:highlight w:val="none"/>
          <w:lang w:eastAsia="zh-CN"/>
        </w:rPr>
        <w:t>的</w:t>
      </w:r>
      <w:r>
        <w:rPr>
          <w:rFonts w:hint="eastAsia" w:ascii="Times New Roman" w:hAnsi="Times New Roman" w:eastAsia="仿宋_GB2312" w:cs="仿宋_GB2312"/>
          <w:sz w:val="32"/>
          <w:szCs w:val="32"/>
          <w:highlight w:val="none"/>
        </w:rPr>
        <w:t>要求，建立健全绩效评估、绩效目标、绩效运行监控、绩效评价和绩效管理成果应用等全过程预算绩效管理机制，自觉接受审计、纪检监察等部门监督。加强对专项资金绩效管理成果和监督结果的应用，作为政策调整、预算安排和完善预算管理的重要依据。</w:t>
      </w:r>
    </w:p>
    <w:p>
      <w:pPr>
        <w:pStyle w:val="5"/>
        <w:keepNext w:val="0"/>
        <w:keepLines w:val="0"/>
        <w:pageBreakBefore w:val="0"/>
        <w:widowControl w:val="0"/>
        <w:kinsoku/>
        <w:wordWrap/>
        <w:overflowPunct w:val="0"/>
        <w:topLinePunct/>
        <w:autoSpaceDE/>
        <w:autoSpaceDN/>
        <w:bidi w:val="0"/>
        <w:adjustRightInd/>
        <w:snapToGrid/>
        <w:spacing w:line="590" w:lineRule="exact"/>
        <w:ind w:firstLine="640" w:firstLineChars="200"/>
        <w:jc w:val="both"/>
        <w:textAlignment w:val="auto"/>
        <w:rPr>
          <w:rFonts w:hint="eastAsia" w:ascii="Times New Roman" w:hAnsi="Times New Roman" w:eastAsia="仿宋_GB2312" w:cs="仿宋_GB2312"/>
          <w:sz w:val="32"/>
          <w:szCs w:val="32"/>
          <w:highlight w:val="none"/>
        </w:rPr>
      </w:pPr>
      <w:r>
        <w:rPr>
          <w:rFonts w:hint="eastAsia" w:ascii="Times New Roman" w:hAnsi="Times New Roman" w:eastAsia="楷体_GB2312" w:cs="楷体_GB2312"/>
          <w:b w:val="0"/>
          <w:bCs w:val="0"/>
          <w:sz w:val="32"/>
          <w:szCs w:val="32"/>
          <w:highlight w:val="none"/>
        </w:rPr>
        <w:t>第二十条</w:t>
      </w:r>
      <w:r>
        <w:rPr>
          <w:rFonts w:hint="eastAsia" w:ascii="Times New Roman" w:hAnsi="Times New Roman" w:eastAsia="仿宋_GB2312" w:cs="仿宋_GB2312"/>
          <w:sz w:val="32"/>
          <w:szCs w:val="32"/>
          <w:highlight w:val="none"/>
          <w:lang w:eastAsia="zh-CN"/>
        </w:rPr>
        <w:t>　</w:t>
      </w:r>
      <w:r>
        <w:rPr>
          <w:rFonts w:hint="eastAsia" w:ascii="Times New Roman" w:hAnsi="Times New Roman" w:eastAsia="仿宋_GB2312" w:cs="仿宋_GB2312"/>
          <w:sz w:val="32"/>
          <w:szCs w:val="32"/>
          <w:highlight w:val="none"/>
        </w:rPr>
        <w:t>市主管部门对专项资金预算绩效目标实现程度和预算执行进度进行监控，定期检查专项资金使用效果，及时掌握项目动态，对项目实施效果与原定绩效目标发生偏离的要及时纠正；情况严重的，调整、暂缓或者停止该项目专项资金的执行，对绩效低下的项目要及时清理退出。市主管部门应当对本部门管理的专项资金实施部门评价，对社会公开（涉密事项除外）</w:t>
      </w:r>
      <w:r>
        <w:rPr>
          <w:rFonts w:hint="eastAsia" w:eastAsia="仿宋_GB2312" w:cs="仿宋_GB2312"/>
          <w:sz w:val="32"/>
          <w:szCs w:val="32"/>
          <w:highlight w:val="none"/>
          <w:lang w:eastAsia="zh-CN"/>
        </w:rPr>
        <w:t>并</w:t>
      </w:r>
      <w:r>
        <w:rPr>
          <w:rFonts w:hint="eastAsia" w:ascii="Times New Roman" w:hAnsi="Times New Roman" w:eastAsia="仿宋_GB2312" w:cs="仿宋_GB2312"/>
          <w:sz w:val="32"/>
          <w:szCs w:val="32"/>
          <w:highlight w:val="none"/>
        </w:rPr>
        <w:t>接受监督。</w:t>
      </w:r>
    </w:p>
    <w:p>
      <w:pPr>
        <w:pStyle w:val="5"/>
        <w:keepNext w:val="0"/>
        <w:keepLines w:val="0"/>
        <w:pageBreakBefore w:val="0"/>
        <w:widowControl w:val="0"/>
        <w:kinsoku/>
        <w:wordWrap/>
        <w:overflowPunct w:val="0"/>
        <w:topLinePunct/>
        <w:autoSpaceDE/>
        <w:autoSpaceDN/>
        <w:bidi w:val="0"/>
        <w:adjustRightInd/>
        <w:snapToGrid/>
        <w:spacing w:line="590" w:lineRule="exact"/>
        <w:ind w:firstLine="640" w:firstLineChars="200"/>
        <w:jc w:val="both"/>
        <w:textAlignment w:val="auto"/>
        <w:rPr>
          <w:rFonts w:hint="eastAsia" w:ascii="Times New Roman" w:hAnsi="Times New Roman" w:eastAsia="仿宋_GB2312" w:cs="仿宋_GB2312"/>
          <w:sz w:val="32"/>
          <w:szCs w:val="32"/>
          <w:highlight w:val="none"/>
        </w:rPr>
      </w:pPr>
      <w:r>
        <w:rPr>
          <w:rFonts w:hint="eastAsia" w:ascii="Times New Roman" w:hAnsi="Times New Roman" w:eastAsia="楷体_GB2312" w:cs="楷体_GB2312"/>
          <w:b w:val="0"/>
          <w:bCs w:val="0"/>
          <w:sz w:val="32"/>
          <w:szCs w:val="32"/>
          <w:highlight w:val="none"/>
        </w:rPr>
        <w:t>第二十一条</w:t>
      </w:r>
      <w:r>
        <w:rPr>
          <w:rFonts w:hint="eastAsia" w:ascii="Times New Roman" w:hAnsi="Times New Roman" w:eastAsia="仿宋_GB2312" w:cs="仿宋_GB2312"/>
          <w:sz w:val="32"/>
          <w:szCs w:val="32"/>
          <w:highlight w:val="none"/>
          <w:lang w:eastAsia="zh-CN"/>
        </w:rPr>
        <w:t>　</w:t>
      </w:r>
      <w:r>
        <w:rPr>
          <w:rFonts w:hint="eastAsia" w:ascii="Times New Roman" w:hAnsi="Times New Roman" w:eastAsia="仿宋_GB2312" w:cs="仿宋_GB2312"/>
          <w:sz w:val="32"/>
          <w:szCs w:val="32"/>
          <w:highlight w:val="none"/>
        </w:rPr>
        <w:t>市财政局负责对市主管部门绩效自评结果进行抽查，根据需要对专项资金实施绩效评价或财会监督检查，并强化结果运用。在评价和检查过程中发现项目承担单位有违规情况</w:t>
      </w:r>
      <w:r>
        <w:rPr>
          <w:rFonts w:hint="eastAsia" w:eastAsia="仿宋_GB2312" w:cs="仿宋_GB2312"/>
          <w:sz w:val="32"/>
          <w:szCs w:val="32"/>
          <w:highlight w:val="none"/>
          <w:lang w:eastAsia="zh-CN"/>
        </w:rPr>
        <w:t>的</w:t>
      </w:r>
      <w:r>
        <w:rPr>
          <w:rFonts w:hint="eastAsia" w:ascii="Times New Roman" w:hAnsi="Times New Roman" w:eastAsia="仿宋_GB2312" w:cs="仿宋_GB2312"/>
          <w:sz w:val="32"/>
          <w:szCs w:val="32"/>
          <w:highlight w:val="none"/>
        </w:rPr>
        <w:t>，通知市主管部门采取暂停拨付、收回资金、通报等措施予以纠正。</w:t>
      </w:r>
    </w:p>
    <w:p>
      <w:pPr>
        <w:pStyle w:val="5"/>
        <w:keepNext w:val="0"/>
        <w:keepLines w:val="0"/>
        <w:pageBreakBefore w:val="0"/>
        <w:widowControl w:val="0"/>
        <w:kinsoku/>
        <w:wordWrap/>
        <w:overflowPunct w:val="0"/>
        <w:topLinePunct/>
        <w:autoSpaceDE/>
        <w:autoSpaceDN/>
        <w:bidi w:val="0"/>
        <w:adjustRightInd/>
        <w:snapToGrid/>
        <w:spacing w:line="590" w:lineRule="exact"/>
        <w:ind w:firstLine="640" w:firstLineChars="200"/>
        <w:jc w:val="both"/>
        <w:textAlignment w:val="auto"/>
        <w:rPr>
          <w:rFonts w:hint="eastAsia" w:ascii="Times New Roman" w:hAnsi="Times New Roman" w:eastAsia="仿宋_GB2312" w:cs="仿宋_GB2312"/>
          <w:sz w:val="32"/>
          <w:szCs w:val="32"/>
          <w:highlight w:val="none"/>
        </w:rPr>
      </w:pPr>
      <w:r>
        <w:rPr>
          <w:rFonts w:hint="eastAsia" w:ascii="Times New Roman" w:hAnsi="Times New Roman" w:eastAsia="楷体_GB2312" w:cs="楷体_GB2312"/>
          <w:b w:val="0"/>
          <w:bCs w:val="0"/>
          <w:sz w:val="32"/>
          <w:szCs w:val="32"/>
          <w:highlight w:val="none"/>
        </w:rPr>
        <w:t>第二十二条</w:t>
      </w:r>
      <w:r>
        <w:rPr>
          <w:rFonts w:hint="eastAsia" w:ascii="Times New Roman" w:hAnsi="Times New Roman" w:eastAsia="仿宋_GB2312" w:cs="仿宋_GB2312"/>
          <w:b/>
          <w:bCs/>
          <w:sz w:val="32"/>
          <w:szCs w:val="32"/>
          <w:highlight w:val="none"/>
          <w:lang w:eastAsia="zh-CN"/>
        </w:rPr>
        <w:t>　</w:t>
      </w:r>
      <w:r>
        <w:rPr>
          <w:rFonts w:hint="eastAsia" w:ascii="Times New Roman" w:hAnsi="Times New Roman" w:eastAsia="仿宋_GB2312" w:cs="仿宋_GB2312"/>
          <w:sz w:val="32"/>
          <w:szCs w:val="32"/>
          <w:highlight w:val="none"/>
        </w:rPr>
        <w:t>专项资金使用单位及个人有下列行为之一的，按照有关规定责令改正，调整有关会计账目，追回有关财政资金，依法给予处罚。情节严重的，按信用管理有关规定进行处理；构成犯罪的，依法移送司法机关。</w:t>
      </w:r>
    </w:p>
    <w:p>
      <w:pPr>
        <w:pStyle w:val="5"/>
        <w:keepNext w:val="0"/>
        <w:keepLines w:val="0"/>
        <w:pageBreakBefore w:val="0"/>
        <w:widowControl w:val="0"/>
        <w:kinsoku/>
        <w:wordWrap/>
        <w:overflowPunct w:val="0"/>
        <w:topLinePunct/>
        <w:autoSpaceDE/>
        <w:autoSpaceDN/>
        <w:bidi w:val="0"/>
        <w:adjustRightInd/>
        <w:snapToGrid/>
        <w:spacing w:line="590" w:lineRule="exact"/>
        <w:ind w:firstLine="640" w:firstLineChars="200"/>
        <w:jc w:val="both"/>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（一）以虚报、冒领、伪造等手段骗取专项资金的。</w:t>
      </w:r>
    </w:p>
    <w:p>
      <w:pPr>
        <w:pStyle w:val="5"/>
        <w:keepNext w:val="0"/>
        <w:keepLines w:val="0"/>
        <w:pageBreakBefore w:val="0"/>
        <w:widowControl w:val="0"/>
        <w:kinsoku/>
        <w:wordWrap/>
        <w:overflowPunct w:val="0"/>
        <w:topLinePunct/>
        <w:autoSpaceDE/>
        <w:autoSpaceDN/>
        <w:bidi w:val="0"/>
        <w:adjustRightInd/>
        <w:snapToGrid/>
        <w:spacing w:line="590" w:lineRule="exact"/>
        <w:ind w:firstLine="640" w:firstLineChars="200"/>
        <w:jc w:val="both"/>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（二）同一项目多头、重复申报专项资金的。</w:t>
      </w:r>
    </w:p>
    <w:p>
      <w:pPr>
        <w:pStyle w:val="5"/>
        <w:keepNext w:val="0"/>
        <w:keepLines w:val="0"/>
        <w:pageBreakBefore w:val="0"/>
        <w:widowControl w:val="0"/>
        <w:kinsoku/>
        <w:wordWrap/>
        <w:overflowPunct w:val="0"/>
        <w:topLinePunct/>
        <w:autoSpaceDE/>
        <w:autoSpaceDN/>
        <w:bidi w:val="0"/>
        <w:adjustRightInd/>
        <w:snapToGrid/>
        <w:spacing w:line="590" w:lineRule="exact"/>
        <w:ind w:firstLine="640" w:firstLineChars="200"/>
        <w:jc w:val="both"/>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（三）未经批准变更专项资金用途、项目计划或内容的。</w:t>
      </w:r>
    </w:p>
    <w:p>
      <w:pPr>
        <w:pStyle w:val="5"/>
        <w:keepNext w:val="0"/>
        <w:keepLines w:val="0"/>
        <w:pageBreakBefore w:val="0"/>
        <w:widowControl w:val="0"/>
        <w:kinsoku/>
        <w:wordWrap/>
        <w:overflowPunct w:val="0"/>
        <w:topLinePunct/>
        <w:autoSpaceDE/>
        <w:autoSpaceDN/>
        <w:bidi w:val="0"/>
        <w:adjustRightInd/>
        <w:snapToGrid/>
        <w:spacing w:line="590" w:lineRule="exact"/>
        <w:ind w:firstLine="640" w:firstLineChars="200"/>
        <w:jc w:val="both"/>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对做出的追回有关财政资金的处理决定，各区镇应当协助执行。</w:t>
      </w:r>
    </w:p>
    <w:p>
      <w:pPr>
        <w:pStyle w:val="5"/>
        <w:keepNext w:val="0"/>
        <w:keepLines w:val="0"/>
        <w:pageBreakBefore w:val="0"/>
        <w:widowControl w:val="0"/>
        <w:kinsoku/>
        <w:wordWrap/>
        <w:overflowPunct w:val="0"/>
        <w:topLinePunct/>
        <w:autoSpaceDE/>
        <w:autoSpaceDN/>
        <w:bidi w:val="0"/>
        <w:adjustRightInd/>
        <w:snapToGrid/>
        <w:spacing w:line="590" w:lineRule="exact"/>
        <w:ind w:firstLine="640" w:firstLineChars="200"/>
        <w:jc w:val="both"/>
        <w:textAlignment w:val="auto"/>
        <w:rPr>
          <w:rFonts w:hint="eastAsia" w:ascii="Times New Roman" w:hAnsi="Times New Roman" w:eastAsia="仿宋_GB2312" w:cs="仿宋_GB2312"/>
          <w:sz w:val="32"/>
          <w:szCs w:val="32"/>
          <w:highlight w:val="none"/>
        </w:rPr>
      </w:pPr>
      <w:r>
        <w:rPr>
          <w:rFonts w:hint="eastAsia" w:ascii="Times New Roman" w:hAnsi="Times New Roman" w:eastAsia="楷体_GB2312" w:cs="楷体_GB2312"/>
          <w:b w:val="0"/>
          <w:bCs w:val="0"/>
          <w:sz w:val="32"/>
          <w:szCs w:val="32"/>
          <w:highlight w:val="none"/>
        </w:rPr>
        <w:t>第二十三条</w:t>
      </w:r>
      <w:r>
        <w:rPr>
          <w:rFonts w:hint="eastAsia" w:ascii="Times New Roman" w:hAnsi="Times New Roman" w:eastAsia="仿宋_GB2312" w:cs="仿宋_GB2312"/>
          <w:sz w:val="32"/>
          <w:szCs w:val="32"/>
          <w:highlight w:val="none"/>
          <w:lang w:eastAsia="zh-CN"/>
        </w:rPr>
        <w:t>　</w:t>
      </w:r>
      <w:r>
        <w:rPr>
          <w:rFonts w:hint="eastAsia" w:ascii="Times New Roman" w:hAnsi="Times New Roman" w:eastAsia="仿宋_GB2312" w:cs="仿宋_GB2312"/>
          <w:sz w:val="32"/>
          <w:szCs w:val="32"/>
          <w:highlight w:val="none"/>
        </w:rPr>
        <w:t>中介机构对专项资金申报、评审、绩效管理等有关工作出具不实报告的，不予采信，并</w:t>
      </w:r>
      <w:r>
        <w:rPr>
          <w:rFonts w:hint="eastAsia" w:eastAsia="仿宋_GB2312" w:cs="仿宋_GB2312"/>
          <w:color w:val="auto"/>
          <w:sz w:val="32"/>
          <w:szCs w:val="32"/>
          <w:highlight w:val="none"/>
          <w:lang w:eastAsia="zh-CN"/>
        </w:rPr>
        <w:t>对相关机构</w:t>
      </w:r>
      <w:r>
        <w:rPr>
          <w:rFonts w:hint="eastAsia" w:ascii="Times New Roman" w:hAnsi="Times New Roman" w:eastAsia="仿宋_GB2312" w:cs="仿宋_GB2312"/>
          <w:sz w:val="32"/>
          <w:szCs w:val="32"/>
          <w:highlight w:val="none"/>
        </w:rPr>
        <w:t>按信用管理有关规定进行处理。</w:t>
      </w:r>
    </w:p>
    <w:p>
      <w:pPr>
        <w:pStyle w:val="5"/>
        <w:keepNext w:val="0"/>
        <w:keepLines w:val="0"/>
        <w:pageBreakBefore w:val="0"/>
        <w:widowControl w:val="0"/>
        <w:kinsoku/>
        <w:wordWrap/>
        <w:overflowPunct w:val="0"/>
        <w:topLinePunct/>
        <w:autoSpaceDE/>
        <w:autoSpaceDN/>
        <w:bidi w:val="0"/>
        <w:adjustRightInd/>
        <w:snapToGrid/>
        <w:spacing w:line="590" w:lineRule="exact"/>
        <w:ind w:firstLine="640" w:firstLineChars="200"/>
        <w:jc w:val="both"/>
        <w:textAlignment w:val="auto"/>
        <w:rPr>
          <w:rFonts w:hint="eastAsia" w:ascii="Times New Roman" w:hAnsi="Times New Roman" w:eastAsia="仿宋_GB2312" w:cs="仿宋_GB2312"/>
          <w:sz w:val="32"/>
          <w:szCs w:val="32"/>
          <w:highlight w:val="none"/>
        </w:rPr>
      </w:pPr>
      <w:bookmarkStart w:id="2" w:name="_Hlk154831741"/>
      <w:r>
        <w:rPr>
          <w:rFonts w:hint="eastAsia" w:ascii="Times New Roman" w:hAnsi="Times New Roman" w:eastAsia="楷体_GB2312" w:cs="楷体_GB2312"/>
          <w:b w:val="0"/>
          <w:bCs w:val="0"/>
          <w:sz w:val="32"/>
          <w:szCs w:val="32"/>
          <w:highlight w:val="none"/>
        </w:rPr>
        <w:t>第二十四条</w:t>
      </w:r>
      <w:r>
        <w:rPr>
          <w:rFonts w:hint="eastAsia" w:ascii="Times New Roman" w:hAnsi="Times New Roman" w:eastAsia="仿宋_GB2312" w:cs="仿宋_GB2312"/>
          <w:sz w:val="32"/>
          <w:szCs w:val="32"/>
          <w:highlight w:val="none"/>
          <w:lang w:eastAsia="zh-CN"/>
        </w:rPr>
        <w:t>　</w:t>
      </w:r>
      <w:r>
        <w:rPr>
          <w:rFonts w:hint="eastAsia" w:ascii="Times New Roman" w:hAnsi="Times New Roman" w:eastAsia="仿宋_GB2312" w:cs="仿宋_GB2312"/>
          <w:sz w:val="32"/>
          <w:szCs w:val="32"/>
          <w:highlight w:val="none"/>
        </w:rPr>
        <w:t>市主管部门、财政部门、区镇及其工作人员在专项资金管理工作中，存在违反本办法规定的行为，以及其他滥用职权、玩忽职守、徇私舞弊等违法违规行为的，按照《中华人民共和国预算法》《中华人民共和国公务员法》《中华人民共和国监察法》《财政违法行为处罚处分条例》等有关规定追究相应责任；涉嫌犯罪的，依法移送司法机关。</w:t>
      </w:r>
    </w:p>
    <w:bookmarkEnd w:id="2"/>
    <w:p>
      <w:pPr>
        <w:pStyle w:val="5"/>
        <w:keepNext w:val="0"/>
        <w:keepLines w:val="0"/>
        <w:pageBreakBefore w:val="0"/>
        <w:widowControl w:val="0"/>
        <w:kinsoku/>
        <w:wordWrap/>
        <w:overflowPunct w:val="0"/>
        <w:topLinePunct/>
        <w:autoSpaceDE/>
        <w:autoSpaceDN/>
        <w:bidi w:val="0"/>
        <w:adjustRightInd/>
        <w:snapToGrid/>
        <w:spacing w:line="590" w:lineRule="exact"/>
        <w:ind w:firstLine="640" w:firstLineChars="200"/>
        <w:textAlignment w:val="auto"/>
        <w:rPr>
          <w:rFonts w:hint="eastAsia" w:ascii="Times New Roman" w:hAnsi="Times New Roman" w:eastAsia="仿宋_GB2312" w:cs="仿宋_GB2312"/>
          <w:sz w:val="32"/>
          <w:szCs w:val="32"/>
          <w:highlight w:val="none"/>
        </w:rPr>
      </w:pPr>
    </w:p>
    <w:p>
      <w:pPr>
        <w:pStyle w:val="5"/>
        <w:keepNext w:val="0"/>
        <w:keepLines w:val="0"/>
        <w:pageBreakBefore w:val="0"/>
        <w:widowControl w:val="0"/>
        <w:shd w:val="clear" w:color="auto" w:fill="FFFFFF"/>
        <w:kinsoku/>
        <w:wordWrap/>
        <w:overflowPunct w:val="0"/>
        <w:topLinePunct/>
        <w:autoSpaceDE/>
        <w:autoSpaceDN/>
        <w:bidi w:val="0"/>
        <w:adjustRightInd/>
        <w:snapToGrid/>
        <w:spacing w:line="590" w:lineRule="exact"/>
        <w:ind w:firstLine="0" w:firstLineChars="0"/>
        <w:jc w:val="center"/>
        <w:textAlignment w:val="auto"/>
        <w:rPr>
          <w:rFonts w:hint="eastAsia" w:ascii="Times New Roman" w:hAnsi="Times New Roman" w:eastAsia="黑体" w:cs="黑体"/>
          <w:b w:val="0"/>
          <w:bCs w:val="0"/>
          <w:sz w:val="32"/>
          <w:szCs w:val="32"/>
          <w:highlight w:val="none"/>
        </w:rPr>
      </w:pPr>
      <w:r>
        <w:rPr>
          <w:rFonts w:hint="eastAsia" w:ascii="Times New Roman" w:hAnsi="Times New Roman" w:eastAsia="黑体" w:cs="黑体"/>
          <w:b w:val="0"/>
          <w:bCs w:val="0"/>
          <w:sz w:val="32"/>
          <w:szCs w:val="32"/>
          <w:highlight w:val="none"/>
        </w:rPr>
        <w:t>第五章</w:t>
      </w:r>
      <w:r>
        <w:rPr>
          <w:rFonts w:hint="eastAsia" w:ascii="Times New Roman" w:hAnsi="Times New Roman" w:eastAsia="黑体" w:cs="黑体"/>
          <w:b w:val="0"/>
          <w:bCs w:val="0"/>
          <w:sz w:val="32"/>
          <w:szCs w:val="32"/>
          <w:highlight w:val="none"/>
          <w:lang w:eastAsia="zh-CN"/>
        </w:rPr>
        <w:t>　</w:t>
      </w:r>
      <w:r>
        <w:rPr>
          <w:rFonts w:hint="eastAsia" w:ascii="Times New Roman" w:hAnsi="Times New Roman" w:eastAsia="黑体" w:cs="黑体"/>
          <w:b w:val="0"/>
          <w:bCs w:val="0"/>
          <w:sz w:val="32"/>
          <w:szCs w:val="32"/>
          <w:highlight w:val="none"/>
        </w:rPr>
        <w:t>附</w:t>
      </w:r>
      <w:r>
        <w:rPr>
          <w:rFonts w:hint="eastAsia" w:ascii="Times New Roman" w:hAnsi="Times New Roman" w:eastAsia="黑体" w:cs="黑体"/>
          <w:b w:val="0"/>
          <w:bCs w:val="0"/>
          <w:sz w:val="32"/>
          <w:szCs w:val="32"/>
          <w:highlight w:val="none"/>
          <w:lang w:eastAsia="zh-CN"/>
        </w:rPr>
        <w:t>　</w:t>
      </w:r>
      <w:r>
        <w:rPr>
          <w:rFonts w:hint="eastAsia" w:ascii="Times New Roman" w:hAnsi="Times New Roman" w:eastAsia="黑体" w:cs="黑体"/>
          <w:b w:val="0"/>
          <w:bCs w:val="0"/>
          <w:sz w:val="32"/>
          <w:szCs w:val="32"/>
          <w:highlight w:val="none"/>
        </w:rPr>
        <w:t>则</w:t>
      </w:r>
    </w:p>
    <w:p>
      <w:pPr>
        <w:pStyle w:val="5"/>
        <w:keepNext w:val="0"/>
        <w:keepLines w:val="0"/>
        <w:pageBreakBefore w:val="0"/>
        <w:widowControl w:val="0"/>
        <w:kinsoku/>
        <w:wordWrap/>
        <w:overflowPunct w:val="0"/>
        <w:topLinePunct/>
        <w:autoSpaceDE/>
        <w:autoSpaceDN/>
        <w:bidi w:val="0"/>
        <w:adjustRightInd/>
        <w:snapToGrid/>
        <w:spacing w:line="590" w:lineRule="exact"/>
        <w:ind w:firstLine="640" w:firstLineChars="200"/>
        <w:textAlignment w:val="auto"/>
        <w:rPr>
          <w:rFonts w:hint="eastAsia" w:ascii="Times New Roman" w:hAnsi="Times New Roman" w:eastAsia="仿宋_GB2312" w:cs="仿宋_GB2312"/>
          <w:sz w:val="32"/>
          <w:szCs w:val="32"/>
          <w:highlight w:val="none"/>
        </w:rPr>
      </w:pPr>
      <w:r>
        <w:rPr>
          <w:rFonts w:hint="eastAsia" w:ascii="Times New Roman" w:hAnsi="Times New Roman" w:eastAsia="楷体_GB2312" w:cs="楷体_GB2312"/>
          <w:b w:val="0"/>
          <w:bCs w:val="0"/>
          <w:sz w:val="32"/>
          <w:szCs w:val="32"/>
          <w:highlight w:val="none"/>
        </w:rPr>
        <w:t>第二十五条</w:t>
      </w:r>
      <w:bookmarkStart w:id="3" w:name="_Hlk140437385"/>
      <w:r>
        <w:rPr>
          <w:rFonts w:hint="eastAsia" w:ascii="Times New Roman" w:hAnsi="Times New Roman" w:eastAsia="仿宋_GB2312" w:cs="仿宋_GB2312"/>
          <w:b/>
          <w:bCs/>
          <w:sz w:val="32"/>
          <w:szCs w:val="32"/>
          <w:highlight w:val="none"/>
          <w:lang w:eastAsia="zh-CN"/>
        </w:rPr>
        <w:t>　</w:t>
      </w:r>
      <w:r>
        <w:rPr>
          <w:rFonts w:hint="eastAsia" w:ascii="Times New Roman" w:hAnsi="Times New Roman" w:eastAsia="仿宋_GB2312" w:cs="仿宋_GB2312"/>
          <w:sz w:val="32"/>
          <w:szCs w:val="32"/>
          <w:highlight w:val="none"/>
        </w:rPr>
        <w:t>本办法由市财政局会同市主管部门负责解释。</w:t>
      </w:r>
    </w:p>
    <w:p>
      <w:pPr>
        <w:pStyle w:val="5"/>
        <w:keepNext w:val="0"/>
        <w:keepLines w:val="0"/>
        <w:pageBreakBefore w:val="0"/>
        <w:widowControl w:val="0"/>
        <w:kinsoku/>
        <w:wordWrap/>
        <w:overflowPunct w:val="0"/>
        <w:topLinePunct/>
        <w:autoSpaceDE/>
        <w:autoSpaceDN/>
        <w:bidi w:val="0"/>
        <w:adjustRightInd/>
        <w:snapToGrid/>
        <w:spacing w:line="590" w:lineRule="exact"/>
        <w:ind w:firstLine="640" w:firstLineChars="200"/>
        <w:textAlignment w:val="auto"/>
        <w:rPr>
          <w:rFonts w:hint="eastAsia" w:ascii="Times New Roman" w:hAnsi="Times New Roman" w:eastAsia="仿宋_GB2312" w:cs="仿宋_GB2312"/>
          <w:sz w:val="32"/>
          <w:szCs w:val="32"/>
          <w:highlight w:val="none"/>
        </w:rPr>
      </w:pPr>
      <w:r>
        <w:rPr>
          <w:rFonts w:hint="eastAsia" w:ascii="Times New Roman" w:hAnsi="Times New Roman" w:eastAsia="楷体_GB2312" w:cs="楷体_GB2312"/>
          <w:b w:val="0"/>
          <w:bCs w:val="0"/>
          <w:sz w:val="32"/>
          <w:szCs w:val="32"/>
          <w:highlight w:val="none"/>
        </w:rPr>
        <w:t>第二十六条</w:t>
      </w:r>
      <w:r>
        <w:rPr>
          <w:rFonts w:hint="eastAsia" w:ascii="Times New Roman" w:hAnsi="Times New Roman" w:eastAsia="仿宋_GB2312" w:cs="仿宋_GB2312"/>
          <w:sz w:val="32"/>
          <w:szCs w:val="32"/>
          <w:highlight w:val="none"/>
          <w:lang w:eastAsia="zh-CN"/>
        </w:rPr>
        <w:t>　</w:t>
      </w:r>
      <w:r>
        <w:rPr>
          <w:rFonts w:hint="eastAsia" w:ascii="Times New Roman" w:hAnsi="Times New Roman" w:eastAsia="仿宋_GB2312" w:cs="仿宋_GB2312"/>
          <w:sz w:val="32"/>
          <w:szCs w:val="32"/>
          <w:highlight w:val="none"/>
        </w:rPr>
        <w:t>本办法自发布之日起施行，有效期</w:t>
      </w:r>
      <w:r>
        <w:rPr>
          <w:rFonts w:hint="eastAsia" w:ascii="Times New Roman" w:hAnsi="Times New Roman" w:eastAsia="仿宋_GB2312" w:cs="仿宋_GB2312"/>
          <w:sz w:val="32"/>
          <w:szCs w:val="32"/>
          <w:highlight w:val="none"/>
          <w:lang w:val="en-US" w:eastAsia="zh-CN"/>
        </w:rPr>
        <w:t>5</w:t>
      </w:r>
      <w:r>
        <w:rPr>
          <w:rFonts w:hint="eastAsia" w:ascii="Times New Roman" w:hAnsi="Times New Roman" w:eastAsia="仿宋_GB2312" w:cs="仿宋_GB2312"/>
          <w:sz w:val="32"/>
          <w:szCs w:val="32"/>
          <w:highlight w:val="none"/>
        </w:rPr>
        <w:t>年。</w:t>
      </w:r>
    </w:p>
    <w:bookmarkEnd w:id="3"/>
    <w:p>
      <w:pPr>
        <w:keepNext w:val="0"/>
        <w:keepLines w:val="0"/>
        <w:pageBreakBefore w:val="0"/>
        <w:widowControl w:val="0"/>
        <w:kinsoku/>
        <w:wordWrap/>
        <w:overflowPunct w:val="0"/>
        <w:topLinePunct/>
        <w:autoSpaceDE/>
        <w:autoSpaceDN/>
        <w:bidi w:val="0"/>
        <w:adjustRightInd/>
        <w:snapToGrid/>
        <w:spacing w:line="590" w:lineRule="exact"/>
        <w:ind w:firstLine="0" w:firstLineChars="0"/>
        <w:textAlignment w:val="auto"/>
        <w:rPr>
          <w:rFonts w:hint="eastAsia" w:ascii="Times New Roman" w:hAnsi="Times New Roman" w:eastAsia="仿宋_GB2312" w:cs="仿宋_GB2312"/>
          <w:sz w:val="32"/>
          <w:szCs w:val="32"/>
          <w:highlight w:val="none"/>
        </w:rPr>
      </w:pPr>
    </w:p>
    <w:sectPr>
      <w:footerReference r:id="rId3" w:type="default"/>
      <w:footerReference r:id="rId4" w:type="even"/>
      <w:pgSz w:w="11906" w:h="16838"/>
      <w:pgMar w:top="1928" w:right="1474" w:bottom="1871" w:left="158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楷体_GBK">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0288" behindDoc="0" locked="1" layoutInCell="1" allowOverlap="1">
              <wp:simplePos x="0" y="0"/>
              <wp:positionH relativeFrom="margin">
                <wp:align>right</wp:align>
              </wp:positionH>
              <wp:positionV relativeFrom="margin">
                <wp:posOffset>8352155</wp:posOffset>
              </wp:positionV>
              <wp:extent cx="1047750" cy="22987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047750" cy="22987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ind w:right="210" w:rightChars="100"/>
                            <w:jc w:val="right"/>
                            <w:rPr>
                              <w:sz w:val="28"/>
                              <w:szCs w:val="44"/>
                            </w:rPr>
                          </w:pPr>
                          <w:r>
                            <w:rPr>
                              <w:rFonts w:hint="eastAsia" w:asciiTheme="minorEastAsia" w:hAnsiTheme="minorEastAsia" w:eastAsiaTheme="minorEastAsia" w:cstheme="minorEastAsia"/>
                              <w:sz w:val="28"/>
                              <w:szCs w:val="44"/>
                            </w:rPr>
                            <w:t xml:space="preserve">— </w:t>
                          </w:r>
                          <w:r>
                            <w:rPr>
                              <w:rFonts w:hint="eastAsia" w:asciiTheme="minorEastAsia" w:hAnsiTheme="minorEastAsia" w:eastAsiaTheme="minorEastAsia" w:cstheme="minorEastAsia"/>
                              <w:sz w:val="28"/>
                              <w:szCs w:val="44"/>
                            </w:rPr>
                            <w:fldChar w:fldCharType="begin"/>
                          </w:r>
                          <w:r>
                            <w:rPr>
                              <w:rFonts w:hint="eastAsia" w:asciiTheme="minorEastAsia" w:hAnsiTheme="minorEastAsia" w:eastAsiaTheme="minorEastAsia" w:cstheme="minorEastAsia"/>
                              <w:sz w:val="28"/>
                              <w:szCs w:val="44"/>
                            </w:rPr>
                            <w:instrText xml:space="preserve"> PAGE  \* MERGEFORMAT </w:instrText>
                          </w:r>
                          <w:r>
                            <w:rPr>
                              <w:rFonts w:hint="eastAsia" w:asciiTheme="minorEastAsia" w:hAnsiTheme="minorEastAsia" w:eastAsiaTheme="minorEastAsia" w:cstheme="minorEastAsia"/>
                              <w:sz w:val="28"/>
                              <w:szCs w:val="44"/>
                            </w:rPr>
                            <w:fldChar w:fldCharType="separate"/>
                          </w:r>
                          <w:r>
                            <w:rPr>
                              <w:rFonts w:asciiTheme="minorEastAsia" w:hAnsiTheme="minorEastAsia" w:eastAsiaTheme="minorEastAsia" w:cstheme="minorEastAsia"/>
                              <w:sz w:val="28"/>
                              <w:szCs w:val="44"/>
                            </w:rPr>
                            <w:t>3</w:t>
                          </w:r>
                          <w:r>
                            <w:rPr>
                              <w:rFonts w:hint="eastAsia" w:asciiTheme="minorEastAsia" w:hAnsiTheme="minorEastAsia" w:eastAsiaTheme="minorEastAsia" w:cstheme="minorEastAsia"/>
                              <w:sz w:val="28"/>
                              <w:szCs w:val="44"/>
                            </w:rPr>
                            <w:fldChar w:fldCharType="end"/>
                          </w:r>
                          <w:r>
                            <w:rPr>
                              <w:rFonts w:hint="eastAsia" w:asciiTheme="minorEastAsia" w:hAnsiTheme="minorEastAsia" w:eastAsiaTheme="minorEastAsia" w:cstheme="minorEastAsia"/>
                              <w:sz w:val="28"/>
                              <w:szCs w:val="44"/>
                            </w:rPr>
                            <w:t xml:space="preserve"> —</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657.65pt;height:18.1pt;width:82.5pt;mso-position-horizontal:right;mso-position-horizontal-relative:margin;mso-position-vertical-relative:margin;z-index:251660288;mso-width-relative:page;mso-height-relative:page;" filled="f" stroked="f" coordsize="21600,21600" o:gfxdata="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IzAYI3WAAAACgEAAA8AAAAAAAAAAQAgAAAAIgAAAGRycy9kb3ducmV2LnhtbFBL&#10;AQIUABQAAAAIAIdO4kBEAMvoMQIAAFYEAAAOAAAAAAAAAAEAIAAAACUBAABkcnMvZTJvRG9jLnht&#10;bFBLBQYAAAAABgAGAFkBAADIBQAAAAA=&#10;">
              <v:fill on="f" focussize="0,0"/>
              <v:stroke on="f" weight="0.5pt"/>
              <v:imagedata o:title=""/>
              <o:lock v:ext="edit" aspectratio="f"/>
              <v:textbox inset="0mm,0mm,0mm,0mm">
                <w:txbxContent>
                  <w:p>
                    <w:pPr>
                      <w:pStyle w:val="3"/>
                      <w:ind w:right="210" w:rightChars="100"/>
                      <w:jc w:val="right"/>
                      <w:rPr>
                        <w:sz w:val="28"/>
                        <w:szCs w:val="44"/>
                      </w:rPr>
                    </w:pPr>
                    <w:r>
                      <w:rPr>
                        <w:rFonts w:hint="eastAsia" w:asciiTheme="minorEastAsia" w:hAnsiTheme="minorEastAsia" w:eastAsiaTheme="minorEastAsia" w:cstheme="minorEastAsia"/>
                        <w:sz w:val="28"/>
                        <w:szCs w:val="44"/>
                      </w:rPr>
                      <w:t xml:space="preserve">— </w:t>
                    </w:r>
                    <w:r>
                      <w:rPr>
                        <w:rFonts w:hint="eastAsia" w:asciiTheme="minorEastAsia" w:hAnsiTheme="minorEastAsia" w:eastAsiaTheme="minorEastAsia" w:cstheme="minorEastAsia"/>
                        <w:sz w:val="28"/>
                        <w:szCs w:val="44"/>
                      </w:rPr>
                      <w:fldChar w:fldCharType="begin"/>
                    </w:r>
                    <w:r>
                      <w:rPr>
                        <w:rFonts w:hint="eastAsia" w:asciiTheme="minorEastAsia" w:hAnsiTheme="minorEastAsia" w:eastAsiaTheme="minorEastAsia" w:cstheme="minorEastAsia"/>
                        <w:sz w:val="28"/>
                        <w:szCs w:val="44"/>
                      </w:rPr>
                      <w:instrText xml:space="preserve"> PAGE  \* MERGEFORMAT </w:instrText>
                    </w:r>
                    <w:r>
                      <w:rPr>
                        <w:rFonts w:hint="eastAsia" w:asciiTheme="minorEastAsia" w:hAnsiTheme="minorEastAsia" w:eastAsiaTheme="minorEastAsia" w:cstheme="minorEastAsia"/>
                        <w:sz w:val="28"/>
                        <w:szCs w:val="44"/>
                      </w:rPr>
                      <w:fldChar w:fldCharType="separate"/>
                    </w:r>
                    <w:r>
                      <w:rPr>
                        <w:rFonts w:asciiTheme="minorEastAsia" w:hAnsiTheme="minorEastAsia" w:eastAsiaTheme="minorEastAsia" w:cstheme="minorEastAsia"/>
                        <w:sz w:val="28"/>
                        <w:szCs w:val="44"/>
                      </w:rPr>
                      <w:t>3</w:t>
                    </w:r>
                    <w:r>
                      <w:rPr>
                        <w:rFonts w:hint="eastAsia" w:asciiTheme="minorEastAsia" w:hAnsiTheme="minorEastAsia" w:eastAsiaTheme="minorEastAsia" w:cstheme="minorEastAsia"/>
                        <w:sz w:val="28"/>
                        <w:szCs w:val="44"/>
                      </w:rPr>
                      <w:fldChar w:fldCharType="end"/>
                    </w:r>
                    <w:r>
                      <w:rPr>
                        <w:rFonts w:hint="eastAsia" w:asciiTheme="minorEastAsia" w:hAnsiTheme="minorEastAsia" w:eastAsiaTheme="minorEastAsia" w:cstheme="minorEastAsia"/>
                        <w:sz w:val="28"/>
                        <w:szCs w:val="44"/>
                      </w:rPr>
                      <w:t xml:space="preserve"> —</w:t>
                    </w:r>
                  </w:p>
                </w:txbxContent>
              </v:textbox>
              <w10:anchorlock/>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1" layoutInCell="1" allowOverlap="1">
              <wp:simplePos x="0" y="0"/>
              <wp:positionH relativeFrom="margin">
                <wp:align>left</wp:align>
              </wp:positionH>
              <wp:positionV relativeFrom="margin">
                <wp:posOffset>8352155</wp:posOffset>
              </wp:positionV>
              <wp:extent cx="1047750" cy="22987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047750" cy="22987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ind w:left="210" w:leftChars="100"/>
                            <w:rPr>
                              <w:rFonts w:asciiTheme="minorEastAsia" w:hAnsiTheme="minorEastAsia" w:eastAsiaTheme="minorEastAsia" w:cstheme="minorEastAsia"/>
                              <w:sz w:val="28"/>
                              <w:szCs w:val="44"/>
                            </w:rPr>
                          </w:pPr>
                          <w:r>
                            <w:rPr>
                              <w:rFonts w:hint="eastAsia" w:asciiTheme="minorEastAsia" w:hAnsiTheme="minorEastAsia" w:eastAsiaTheme="minorEastAsia" w:cstheme="minorEastAsia"/>
                              <w:sz w:val="28"/>
                              <w:szCs w:val="44"/>
                            </w:rPr>
                            <w:t xml:space="preserve">— </w:t>
                          </w:r>
                          <w:r>
                            <w:rPr>
                              <w:rFonts w:hint="eastAsia" w:asciiTheme="minorEastAsia" w:hAnsiTheme="minorEastAsia" w:eastAsiaTheme="minorEastAsia" w:cstheme="minorEastAsia"/>
                              <w:sz w:val="28"/>
                              <w:szCs w:val="44"/>
                            </w:rPr>
                            <w:fldChar w:fldCharType="begin"/>
                          </w:r>
                          <w:r>
                            <w:rPr>
                              <w:rFonts w:hint="eastAsia" w:asciiTheme="minorEastAsia" w:hAnsiTheme="minorEastAsia" w:eastAsiaTheme="minorEastAsia" w:cstheme="minorEastAsia"/>
                              <w:sz w:val="28"/>
                              <w:szCs w:val="44"/>
                            </w:rPr>
                            <w:instrText xml:space="preserve"> PAGE  \* MERGEFORMAT </w:instrText>
                          </w:r>
                          <w:r>
                            <w:rPr>
                              <w:rFonts w:hint="eastAsia" w:asciiTheme="minorEastAsia" w:hAnsiTheme="minorEastAsia" w:eastAsiaTheme="minorEastAsia" w:cstheme="minorEastAsia"/>
                              <w:sz w:val="28"/>
                              <w:szCs w:val="44"/>
                            </w:rPr>
                            <w:fldChar w:fldCharType="separate"/>
                          </w:r>
                          <w:r>
                            <w:rPr>
                              <w:rFonts w:asciiTheme="minorEastAsia" w:hAnsiTheme="minorEastAsia" w:eastAsiaTheme="minorEastAsia" w:cstheme="minorEastAsia"/>
                              <w:sz w:val="28"/>
                              <w:szCs w:val="44"/>
                            </w:rPr>
                            <w:t>2</w:t>
                          </w:r>
                          <w:r>
                            <w:rPr>
                              <w:rFonts w:hint="eastAsia" w:asciiTheme="minorEastAsia" w:hAnsiTheme="minorEastAsia" w:eastAsiaTheme="minorEastAsia" w:cstheme="minorEastAsia"/>
                              <w:sz w:val="28"/>
                              <w:szCs w:val="44"/>
                            </w:rPr>
                            <w:fldChar w:fldCharType="end"/>
                          </w:r>
                          <w:r>
                            <w:rPr>
                              <w:rFonts w:hint="eastAsia" w:asciiTheme="minorEastAsia" w:hAnsiTheme="minorEastAsia" w:eastAsiaTheme="minorEastAsia" w:cstheme="minorEastAsia"/>
                              <w:sz w:val="28"/>
                              <w:szCs w:val="44"/>
                            </w:rPr>
                            <w:t xml:space="preserve"> —</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657.65pt;height:18.1pt;width:82.5pt;mso-position-horizontal:left;mso-position-horizontal-relative:margin;mso-position-vertical-relative:margin;z-index:251659264;mso-width-relative:page;mso-height-relative:page;" filled="f" stroked="f" coordsize="21600,21600" o:gfxdata="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MwGCN1gAAAAoBAAAPAAAAAAAAAAEAIAAAACIAAABkcnMvZG93bnJldi54bWxQSwEC&#10;FAAUAAAACACHTuJAdrnsfC8CAABWBAAADgAAAAAAAAABACAAAAAlAQAAZHJzL2Uyb0RvYy54bWxQ&#10;SwUGAAAAAAYABgBZAQAAxgUAAAAA&#10;">
              <v:fill on="f" focussize="0,0"/>
              <v:stroke on="f" weight="0.5pt"/>
              <v:imagedata o:title=""/>
              <o:lock v:ext="edit" aspectratio="f"/>
              <v:textbox inset="0mm,0mm,0mm,0mm">
                <w:txbxContent>
                  <w:p>
                    <w:pPr>
                      <w:pStyle w:val="3"/>
                      <w:ind w:left="210" w:leftChars="100"/>
                      <w:rPr>
                        <w:rFonts w:asciiTheme="minorEastAsia" w:hAnsiTheme="minorEastAsia" w:eastAsiaTheme="minorEastAsia" w:cstheme="minorEastAsia"/>
                        <w:sz w:val="28"/>
                        <w:szCs w:val="44"/>
                      </w:rPr>
                    </w:pPr>
                    <w:r>
                      <w:rPr>
                        <w:rFonts w:hint="eastAsia" w:asciiTheme="minorEastAsia" w:hAnsiTheme="minorEastAsia" w:eastAsiaTheme="minorEastAsia" w:cstheme="minorEastAsia"/>
                        <w:sz w:val="28"/>
                        <w:szCs w:val="44"/>
                      </w:rPr>
                      <w:t xml:space="preserve">— </w:t>
                    </w:r>
                    <w:r>
                      <w:rPr>
                        <w:rFonts w:hint="eastAsia" w:asciiTheme="minorEastAsia" w:hAnsiTheme="minorEastAsia" w:eastAsiaTheme="minorEastAsia" w:cstheme="minorEastAsia"/>
                        <w:sz w:val="28"/>
                        <w:szCs w:val="44"/>
                      </w:rPr>
                      <w:fldChar w:fldCharType="begin"/>
                    </w:r>
                    <w:r>
                      <w:rPr>
                        <w:rFonts w:hint="eastAsia" w:asciiTheme="minorEastAsia" w:hAnsiTheme="minorEastAsia" w:eastAsiaTheme="minorEastAsia" w:cstheme="minorEastAsia"/>
                        <w:sz w:val="28"/>
                        <w:szCs w:val="44"/>
                      </w:rPr>
                      <w:instrText xml:space="preserve"> PAGE  \* MERGEFORMAT </w:instrText>
                    </w:r>
                    <w:r>
                      <w:rPr>
                        <w:rFonts w:hint="eastAsia" w:asciiTheme="minorEastAsia" w:hAnsiTheme="minorEastAsia" w:eastAsiaTheme="minorEastAsia" w:cstheme="minorEastAsia"/>
                        <w:sz w:val="28"/>
                        <w:szCs w:val="44"/>
                      </w:rPr>
                      <w:fldChar w:fldCharType="separate"/>
                    </w:r>
                    <w:r>
                      <w:rPr>
                        <w:rFonts w:asciiTheme="minorEastAsia" w:hAnsiTheme="minorEastAsia" w:eastAsiaTheme="minorEastAsia" w:cstheme="minorEastAsia"/>
                        <w:sz w:val="28"/>
                        <w:szCs w:val="44"/>
                      </w:rPr>
                      <w:t>2</w:t>
                    </w:r>
                    <w:r>
                      <w:rPr>
                        <w:rFonts w:hint="eastAsia" w:asciiTheme="minorEastAsia" w:hAnsiTheme="minorEastAsia" w:eastAsiaTheme="minorEastAsia" w:cstheme="minorEastAsia"/>
                        <w:sz w:val="28"/>
                        <w:szCs w:val="44"/>
                      </w:rPr>
                      <w:fldChar w:fldCharType="end"/>
                    </w:r>
                    <w:r>
                      <w:rPr>
                        <w:rFonts w:hint="eastAsia" w:asciiTheme="minorEastAsia" w:hAnsiTheme="minorEastAsia" w:eastAsiaTheme="minorEastAsia" w:cstheme="minorEastAsia"/>
                        <w:sz w:val="28"/>
                        <w:szCs w:val="44"/>
                      </w:rPr>
                      <w:t xml:space="preserve"> —</w:t>
                    </w:r>
                  </w:p>
                </w:txbxContent>
              </v:textbox>
              <w10:anchorlock/>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mirrorMargins w:val="1"/>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g5N2VlMGNjYTA1MDhkYzRlNGFkZDNiMzY3MzJkZDEifQ=="/>
  </w:docVars>
  <w:rsids>
    <w:rsidRoot w:val="0A027CC4"/>
    <w:rsid w:val="0001653A"/>
    <w:rsid w:val="0002073F"/>
    <w:rsid w:val="000B163E"/>
    <w:rsid w:val="000C24A1"/>
    <w:rsid w:val="000D3318"/>
    <w:rsid w:val="000E15AE"/>
    <w:rsid w:val="00150EA7"/>
    <w:rsid w:val="0016189E"/>
    <w:rsid w:val="001774A5"/>
    <w:rsid w:val="001D4801"/>
    <w:rsid w:val="002A68EF"/>
    <w:rsid w:val="002D3B95"/>
    <w:rsid w:val="00305A37"/>
    <w:rsid w:val="0035617B"/>
    <w:rsid w:val="00385323"/>
    <w:rsid w:val="00394471"/>
    <w:rsid w:val="003B554B"/>
    <w:rsid w:val="00445A1D"/>
    <w:rsid w:val="004839D7"/>
    <w:rsid w:val="004B5E29"/>
    <w:rsid w:val="004C397A"/>
    <w:rsid w:val="005412A8"/>
    <w:rsid w:val="00547FF6"/>
    <w:rsid w:val="005539A0"/>
    <w:rsid w:val="00557162"/>
    <w:rsid w:val="005B6A78"/>
    <w:rsid w:val="005C0540"/>
    <w:rsid w:val="006133FD"/>
    <w:rsid w:val="006836D3"/>
    <w:rsid w:val="0071299E"/>
    <w:rsid w:val="007C0F2D"/>
    <w:rsid w:val="008201EB"/>
    <w:rsid w:val="0088504D"/>
    <w:rsid w:val="008B62A1"/>
    <w:rsid w:val="0096411D"/>
    <w:rsid w:val="009856EC"/>
    <w:rsid w:val="00987122"/>
    <w:rsid w:val="00995D16"/>
    <w:rsid w:val="00A82CED"/>
    <w:rsid w:val="00AD402B"/>
    <w:rsid w:val="00AF1044"/>
    <w:rsid w:val="00B0043F"/>
    <w:rsid w:val="00B90C38"/>
    <w:rsid w:val="00BB4E51"/>
    <w:rsid w:val="00BF529D"/>
    <w:rsid w:val="00C0747B"/>
    <w:rsid w:val="00C636ED"/>
    <w:rsid w:val="00CC05F2"/>
    <w:rsid w:val="00CE591B"/>
    <w:rsid w:val="00D11ED3"/>
    <w:rsid w:val="00D162B5"/>
    <w:rsid w:val="00D17587"/>
    <w:rsid w:val="00D176D7"/>
    <w:rsid w:val="00D43468"/>
    <w:rsid w:val="00D92140"/>
    <w:rsid w:val="00D93638"/>
    <w:rsid w:val="00DF7447"/>
    <w:rsid w:val="00E11ED1"/>
    <w:rsid w:val="00E21F42"/>
    <w:rsid w:val="00EE0508"/>
    <w:rsid w:val="00F011EC"/>
    <w:rsid w:val="00F136F2"/>
    <w:rsid w:val="00F77B50"/>
    <w:rsid w:val="00F85DBD"/>
    <w:rsid w:val="00F915B0"/>
    <w:rsid w:val="00FB7E3D"/>
    <w:rsid w:val="00FF71E3"/>
    <w:rsid w:val="012A6BDB"/>
    <w:rsid w:val="013712F7"/>
    <w:rsid w:val="01A22C15"/>
    <w:rsid w:val="01B464A4"/>
    <w:rsid w:val="01D32DCE"/>
    <w:rsid w:val="02337D11"/>
    <w:rsid w:val="02750329"/>
    <w:rsid w:val="02C31095"/>
    <w:rsid w:val="02C46BBB"/>
    <w:rsid w:val="0305345B"/>
    <w:rsid w:val="032D29B2"/>
    <w:rsid w:val="04531FA4"/>
    <w:rsid w:val="045F6B9B"/>
    <w:rsid w:val="04BD7D66"/>
    <w:rsid w:val="04D1736D"/>
    <w:rsid w:val="04FC088E"/>
    <w:rsid w:val="05085485"/>
    <w:rsid w:val="051931EE"/>
    <w:rsid w:val="054B35C3"/>
    <w:rsid w:val="05663F59"/>
    <w:rsid w:val="05706B86"/>
    <w:rsid w:val="05C018BB"/>
    <w:rsid w:val="05D06302"/>
    <w:rsid w:val="05F23A3F"/>
    <w:rsid w:val="064860D7"/>
    <w:rsid w:val="06604E4C"/>
    <w:rsid w:val="066B5CCB"/>
    <w:rsid w:val="0708351A"/>
    <w:rsid w:val="07DB0C2F"/>
    <w:rsid w:val="07FB4E2D"/>
    <w:rsid w:val="08395955"/>
    <w:rsid w:val="08587AB3"/>
    <w:rsid w:val="08C276F9"/>
    <w:rsid w:val="09077801"/>
    <w:rsid w:val="0983332C"/>
    <w:rsid w:val="0A027CC4"/>
    <w:rsid w:val="0A9450C5"/>
    <w:rsid w:val="0AB319EF"/>
    <w:rsid w:val="0AB37C41"/>
    <w:rsid w:val="0B8D0492"/>
    <w:rsid w:val="0BC820E2"/>
    <w:rsid w:val="0BEF774B"/>
    <w:rsid w:val="0BFE313E"/>
    <w:rsid w:val="0C177D5B"/>
    <w:rsid w:val="0C37664F"/>
    <w:rsid w:val="0D562B05"/>
    <w:rsid w:val="0DCC7B03"/>
    <w:rsid w:val="0DD203DE"/>
    <w:rsid w:val="0E010CC3"/>
    <w:rsid w:val="0F0547E3"/>
    <w:rsid w:val="0F2E0457"/>
    <w:rsid w:val="0F59068B"/>
    <w:rsid w:val="0F6634D4"/>
    <w:rsid w:val="0F6B0AEA"/>
    <w:rsid w:val="0F895414"/>
    <w:rsid w:val="10A0102D"/>
    <w:rsid w:val="11205904"/>
    <w:rsid w:val="11C6025A"/>
    <w:rsid w:val="11F272A1"/>
    <w:rsid w:val="13484C1F"/>
    <w:rsid w:val="13B62550"/>
    <w:rsid w:val="13F60B9E"/>
    <w:rsid w:val="14096B23"/>
    <w:rsid w:val="143A4F2F"/>
    <w:rsid w:val="14636234"/>
    <w:rsid w:val="14661880"/>
    <w:rsid w:val="146A5814"/>
    <w:rsid w:val="149036F0"/>
    <w:rsid w:val="14A32AD4"/>
    <w:rsid w:val="151614F8"/>
    <w:rsid w:val="154A2F50"/>
    <w:rsid w:val="15CC7E09"/>
    <w:rsid w:val="16895CFA"/>
    <w:rsid w:val="16DC22CD"/>
    <w:rsid w:val="17656A07"/>
    <w:rsid w:val="176E561B"/>
    <w:rsid w:val="17B84D36"/>
    <w:rsid w:val="18001FEB"/>
    <w:rsid w:val="187A1D9E"/>
    <w:rsid w:val="18DF60A5"/>
    <w:rsid w:val="18E45469"/>
    <w:rsid w:val="19AC5F87"/>
    <w:rsid w:val="19F16090"/>
    <w:rsid w:val="1A5959E3"/>
    <w:rsid w:val="1A632294"/>
    <w:rsid w:val="1A8769F4"/>
    <w:rsid w:val="1AC6751C"/>
    <w:rsid w:val="1AE479A2"/>
    <w:rsid w:val="1B1D4C62"/>
    <w:rsid w:val="1B7A3E63"/>
    <w:rsid w:val="1B80591D"/>
    <w:rsid w:val="1B8C7A0E"/>
    <w:rsid w:val="1C907DE2"/>
    <w:rsid w:val="1CA71AA3"/>
    <w:rsid w:val="1D3544E5"/>
    <w:rsid w:val="1D70376F"/>
    <w:rsid w:val="1D8A4831"/>
    <w:rsid w:val="1DE55F0B"/>
    <w:rsid w:val="1E4C1AE7"/>
    <w:rsid w:val="1E63248D"/>
    <w:rsid w:val="1F2760B0"/>
    <w:rsid w:val="1F282554"/>
    <w:rsid w:val="1F751511"/>
    <w:rsid w:val="1FF561AE"/>
    <w:rsid w:val="202A5E57"/>
    <w:rsid w:val="210112AE"/>
    <w:rsid w:val="210B5C89"/>
    <w:rsid w:val="211508B6"/>
    <w:rsid w:val="212D20A3"/>
    <w:rsid w:val="215B6B49"/>
    <w:rsid w:val="217D46AD"/>
    <w:rsid w:val="21D50045"/>
    <w:rsid w:val="21F445A2"/>
    <w:rsid w:val="22B12860"/>
    <w:rsid w:val="22FB5E73"/>
    <w:rsid w:val="231B417D"/>
    <w:rsid w:val="23403BE4"/>
    <w:rsid w:val="23BA5744"/>
    <w:rsid w:val="241118B8"/>
    <w:rsid w:val="246D0A09"/>
    <w:rsid w:val="24A02B8C"/>
    <w:rsid w:val="24AA3A0B"/>
    <w:rsid w:val="24C34ACD"/>
    <w:rsid w:val="253D487F"/>
    <w:rsid w:val="258C3110"/>
    <w:rsid w:val="259B3DE9"/>
    <w:rsid w:val="25B34B41"/>
    <w:rsid w:val="25DF5936"/>
    <w:rsid w:val="25E62821"/>
    <w:rsid w:val="25EB42DB"/>
    <w:rsid w:val="25F74A2E"/>
    <w:rsid w:val="26437C73"/>
    <w:rsid w:val="264F486A"/>
    <w:rsid w:val="26EA4592"/>
    <w:rsid w:val="26EB3E67"/>
    <w:rsid w:val="26EF7DFB"/>
    <w:rsid w:val="26F947D6"/>
    <w:rsid w:val="27AD4D29"/>
    <w:rsid w:val="280C0B44"/>
    <w:rsid w:val="282A59A5"/>
    <w:rsid w:val="288307FB"/>
    <w:rsid w:val="288E0F4E"/>
    <w:rsid w:val="28BA1D43"/>
    <w:rsid w:val="29712D49"/>
    <w:rsid w:val="29E7300B"/>
    <w:rsid w:val="29F23E8A"/>
    <w:rsid w:val="2A2658E2"/>
    <w:rsid w:val="2A2B2EF8"/>
    <w:rsid w:val="2A64640A"/>
    <w:rsid w:val="2AC5334C"/>
    <w:rsid w:val="2B471FB3"/>
    <w:rsid w:val="2B54022C"/>
    <w:rsid w:val="2B8D373E"/>
    <w:rsid w:val="2BDB094E"/>
    <w:rsid w:val="2C273B93"/>
    <w:rsid w:val="2C29790B"/>
    <w:rsid w:val="2C66290D"/>
    <w:rsid w:val="2D6706EB"/>
    <w:rsid w:val="2D8172D3"/>
    <w:rsid w:val="2DA76D39"/>
    <w:rsid w:val="2DE0049D"/>
    <w:rsid w:val="2DF6381D"/>
    <w:rsid w:val="2E2E745B"/>
    <w:rsid w:val="2E585530"/>
    <w:rsid w:val="2E821554"/>
    <w:rsid w:val="2EC45B28"/>
    <w:rsid w:val="2ED578B5"/>
    <w:rsid w:val="2EEA15D4"/>
    <w:rsid w:val="2F4D10EB"/>
    <w:rsid w:val="2F884949"/>
    <w:rsid w:val="2FB27C17"/>
    <w:rsid w:val="30085A89"/>
    <w:rsid w:val="30183F1E"/>
    <w:rsid w:val="3046493A"/>
    <w:rsid w:val="30C145B6"/>
    <w:rsid w:val="30FF6E8C"/>
    <w:rsid w:val="313C3C3D"/>
    <w:rsid w:val="31965AF4"/>
    <w:rsid w:val="31F44517"/>
    <w:rsid w:val="32625925"/>
    <w:rsid w:val="32917FB8"/>
    <w:rsid w:val="329A50BF"/>
    <w:rsid w:val="330D3BC9"/>
    <w:rsid w:val="333077D1"/>
    <w:rsid w:val="335C05C6"/>
    <w:rsid w:val="339B6BD2"/>
    <w:rsid w:val="33AE06F6"/>
    <w:rsid w:val="33B421B0"/>
    <w:rsid w:val="34384B8F"/>
    <w:rsid w:val="344C23E9"/>
    <w:rsid w:val="3464195E"/>
    <w:rsid w:val="34B306BA"/>
    <w:rsid w:val="34F565DC"/>
    <w:rsid w:val="35154ED0"/>
    <w:rsid w:val="351A24E7"/>
    <w:rsid w:val="35494B7A"/>
    <w:rsid w:val="3567552A"/>
    <w:rsid w:val="35802C83"/>
    <w:rsid w:val="35D00DF7"/>
    <w:rsid w:val="36201D7F"/>
    <w:rsid w:val="365437D6"/>
    <w:rsid w:val="36AF4EB1"/>
    <w:rsid w:val="36E92171"/>
    <w:rsid w:val="36EF2A73"/>
    <w:rsid w:val="37B24C58"/>
    <w:rsid w:val="37C31F61"/>
    <w:rsid w:val="37DF3574"/>
    <w:rsid w:val="387A359B"/>
    <w:rsid w:val="3894435E"/>
    <w:rsid w:val="38A8605B"/>
    <w:rsid w:val="38B8629F"/>
    <w:rsid w:val="38BE1079"/>
    <w:rsid w:val="397321C6"/>
    <w:rsid w:val="39EF3F42"/>
    <w:rsid w:val="39F257E0"/>
    <w:rsid w:val="39FE4185"/>
    <w:rsid w:val="3A231E3E"/>
    <w:rsid w:val="3A726921"/>
    <w:rsid w:val="3A850402"/>
    <w:rsid w:val="3AB42A96"/>
    <w:rsid w:val="3AD153F6"/>
    <w:rsid w:val="3AEF3ACE"/>
    <w:rsid w:val="3B471316"/>
    <w:rsid w:val="3B762441"/>
    <w:rsid w:val="3B803147"/>
    <w:rsid w:val="3BAB20EB"/>
    <w:rsid w:val="3BE850ED"/>
    <w:rsid w:val="3BFF41E4"/>
    <w:rsid w:val="3C0637C5"/>
    <w:rsid w:val="3CB274A9"/>
    <w:rsid w:val="3CBE5E4E"/>
    <w:rsid w:val="3D9E5A68"/>
    <w:rsid w:val="3DA06A0D"/>
    <w:rsid w:val="3EA51073"/>
    <w:rsid w:val="3EC51F9A"/>
    <w:rsid w:val="3F080CAB"/>
    <w:rsid w:val="3F375A43"/>
    <w:rsid w:val="3F485EA2"/>
    <w:rsid w:val="40103B73"/>
    <w:rsid w:val="40D0614F"/>
    <w:rsid w:val="40DC68A2"/>
    <w:rsid w:val="41200E85"/>
    <w:rsid w:val="413E755D"/>
    <w:rsid w:val="41676AB4"/>
    <w:rsid w:val="41B330D2"/>
    <w:rsid w:val="42440BA3"/>
    <w:rsid w:val="4251506E"/>
    <w:rsid w:val="427A45C5"/>
    <w:rsid w:val="42A13A79"/>
    <w:rsid w:val="42A930FC"/>
    <w:rsid w:val="42BD2703"/>
    <w:rsid w:val="42D6199A"/>
    <w:rsid w:val="42EB101F"/>
    <w:rsid w:val="42FE126F"/>
    <w:rsid w:val="433A3D54"/>
    <w:rsid w:val="433E3844"/>
    <w:rsid w:val="4359242C"/>
    <w:rsid w:val="43A7763B"/>
    <w:rsid w:val="43EC2DAB"/>
    <w:rsid w:val="43FE4D82"/>
    <w:rsid w:val="45055CA8"/>
    <w:rsid w:val="45CA13BF"/>
    <w:rsid w:val="45F823D0"/>
    <w:rsid w:val="46582E6F"/>
    <w:rsid w:val="466510E8"/>
    <w:rsid w:val="46CC1167"/>
    <w:rsid w:val="46F012F9"/>
    <w:rsid w:val="47B24801"/>
    <w:rsid w:val="47F72214"/>
    <w:rsid w:val="486755EB"/>
    <w:rsid w:val="48F826E7"/>
    <w:rsid w:val="493F20C4"/>
    <w:rsid w:val="49DA3B9B"/>
    <w:rsid w:val="4A791606"/>
    <w:rsid w:val="4A8F4985"/>
    <w:rsid w:val="4A987CDE"/>
    <w:rsid w:val="4AD33584"/>
    <w:rsid w:val="4AF408CB"/>
    <w:rsid w:val="4B1530DD"/>
    <w:rsid w:val="4B223A4B"/>
    <w:rsid w:val="4B494D08"/>
    <w:rsid w:val="4B546504"/>
    <w:rsid w:val="4B7C315C"/>
    <w:rsid w:val="4B8244EA"/>
    <w:rsid w:val="4BB71DC2"/>
    <w:rsid w:val="4C3B3017"/>
    <w:rsid w:val="4C667968"/>
    <w:rsid w:val="4C7D53DD"/>
    <w:rsid w:val="4CD528D8"/>
    <w:rsid w:val="4D1B4BF6"/>
    <w:rsid w:val="4E263853"/>
    <w:rsid w:val="4E7520E4"/>
    <w:rsid w:val="4EDE5EDB"/>
    <w:rsid w:val="4EEA2AD2"/>
    <w:rsid w:val="4F346C0C"/>
    <w:rsid w:val="4F6463E1"/>
    <w:rsid w:val="4F764366"/>
    <w:rsid w:val="4F844CD5"/>
    <w:rsid w:val="4FDC241B"/>
    <w:rsid w:val="50923421"/>
    <w:rsid w:val="50C335DB"/>
    <w:rsid w:val="50FE2865"/>
    <w:rsid w:val="514F4E6E"/>
    <w:rsid w:val="51825244"/>
    <w:rsid w:val="5257222D"/>
    <w:rsid w:val="52CD0741"/>
    <w:rsid w:val="52ED0DE3"/>
    <w:rsid w:val="52FB3500"/>
    <w:rsid w:val="52FD1026"/>
    <w:rsid w:val="530C74BB"/>
    <w:rsid w:val="53126132"/>
    <w:rsid w:val="5345477B"/>
    <w:rsid w:val="53760DD8"/>
    <w:rsid w:val="53A94D0A"/>
    <w:rsid w:val="53DF24DA"/>
    <w:rsid w:val="54047867"/>
    <w:rsid w:val="54AD082A"/>
    <w:rsid w:val="54E87AB4"/>
    <w:rsid w:val="55456CB4"/>
    <w:rsid w:val="55DB13C7"/>
    <w:rsid w:val="562C1C22"/>
    <w:rsid w:val="564C7BCE"/>
    <w:rsid w:val="56810F59"/>
    <w:rsid w:val="57A777B2"/>
    <w:rsid w:val="57D165DD"/>
    <w:rsid w:val="57E722A5"/>
    <w:rsid w:val="583A3387"/>
    <w:rsid w:val="58773629"/>
    <w:rsid w:val="59480B21"/>
    <w:rsid w:val="5952239C"/>
    <w:rsid w:val="596F60AE"/>
    <w:rsid w:val="59883613"/>
    <w:rsid w:val="59B85CA7"/>
    <w:rsid w:val="59E52814"/>
    <w:rsid w:val="5A2A0227"/>
    <w:rsid w:val="5A403EEE"/>
    <w:rsid w:val="5AC643F3"/>
    <w:rsid w:val="5B4F43E9"/>
    <w:rsid w:val="5B5A4B3C"/>
    <w:rsid w:val="5BB24978"/>
    <w:rsid w:val="5BF1724E"/>
    <w:rsid w:val="5C9D2F32"/>
    <w:rsid w:val="5D080CF3"/>
    <w:rsid w:val="5D524382"/>
    <w:rsid w:val="5D5A7075"/>
    <w:rsid w:val="5D900E04"/>
    <w:rsid w:val="5DCA5FA9"/>
    <w:rsid w:val="5E176D14"/>
    <w:rsid w:val="5E8C30F0"/>
    <w:rsid w:val="5EE31889"/>
    <w:rsid w:val="5F913878"/>
    <w:rsid w:val="600D773F"/>
    <w:rsid w:val="602E775F"/>
    <w:rsid w:val="604F09E7"/>
    <w:rsid w:val="606049A2"/>
    <w:rsid w:val="607E64F0"/>
    <w:rsid w:val="60C74A21"/>
    <w:rsid w:val="60E47381"/>
    <w:rsid w:val="61251748"/>
    <w:rsid w:val="619F78E4"/>
    <w:rsid w:val="61B72CE8"/>
    <w:rsid w:val="61BE5E24"/>
    <w:rsid w:val="62620EA5"/>
    <w:rsid w:val="628C5802"/>
    <w:rsid w:val="62944DD7"/>
    <w:rsid w:val="62C531E2"/>
    <w:rsid w:val="62CF4061"/>
    <w:rsid w:val="637A5D7B"/>
    <w:rsid w:val="645C7B76"/>
    <w:rsid w:val="646F1658"/>
    <w:rsid w:val="64986E00"/>
    <w:rsid w:val="64D92F75"/>
    <w:rsid w:val="65197815"/>
    <w:rsid w:val="656B0071"/>
    <w:rsid w:val="656C203B"/>
    <w:rsid w:val="65907AD8"/>
    <w:rsid w:val="659B022A"/>
    <w:rsid w:val="65A04493"/>
    <w:rsid w:val="65A25A5D"/>
    <w:rsid w:val="65F31E15"/>
    <w:rsid w:val="66285F62"/>
    <w:rsid w:val="663C1A0D"/>
    <w:rsid w:val="665A1E94"/>
    <w:rsid w:val="668D4017"/>
    <w:rsid w:val="66E856F1"/>
    <w:rsid w:val="67095D94"/>
    <w:rsid w:val="67535261"/>
    <w:rsid w:val="6753700F"/>
    <w:rsid w:val="67A755AC"/>
    <w:rsid w:val="67DB7004"/>
    <w:rsid w:val="67F307F2"/>
    <w:rsid w:val="6804655B"/>
    <w:rsid w:val="680622D3"/>
    <w:rsid w:val="681C1AF7"/>
    <w:rsid w:val="681D761D"/>
    <w:rsid w:val="682B7F8C"/>
    <w:rsid w:val="685E4AD3"/>
    <w:rsid w:val="68662D72"/>
    <w:rsid w:val="686D2352"/>
    <w:rsid w:val="68817BAC"/>
    <w:rsid w:val="69004F74"/>
    <w:rsid w:val="690F3409"/>
    <w:rsid w:val="694F7CAA"/>
    <w:rsid w:val="69BE3CC8"/>
    <w:rsid w:val="69F1254B"/>
    <w:rsid w:val="6AB029CA"/>
    <w:rsid w:val="6B08208F"/>
    <w:rsid w:val="6BB87D88"/>
    <w:rsid w:val="6C164AAF"/>
    <w:rsid w:val="6C353187"/>
    <w:rsid w:val="6C606ADC"/>
    <w:rsid w:val="6C951E77"/>
    <w:rsid w:val="6CC60283"/>
    <w:rsid w:val="6CCA7D73"/>
    <w:rsid w:val="6D100E3C"/>
    <w:rsid w:val="6D6261FE"/>
    <w:rsid w:val="6DB91B96"/>
    <w:rsid w:val="6E386F5E"/>
    <w:rsid w:val="6E7066F8"/>
    <w:rsid w:val="6E881C94"/>
    <w:rsid w:val="6E900B48"/>
    <w:rsid w:val="6ECB1B80"/>
    <w:rsid w:val="6ED70525"/>
    <w:rsid w:val="6EEE3AC1"/>
    <w:rsid w:val="6F5A2F04"/>
    <w:rsid w:val="6F6D0E8A"/>
    <w:rsid w:val="6F6F69B0"/>
    <w:rsid w:val="6F96218E"/>
    <w:rsid w:val="6FAD0FF0"/>
    <w:rsid w:val="6FDE7692"/>
    <w:rsid w:val="70066CB4"/>
    <w:rsid w:val="70700C31"/>
    <w:rsid w:val="70735633"/>
    <w:rsid w:val="707F0E75"/>
    <w:rsid w:val="70B86135"/>
    <w:rsid w:val="70CE3BAA"/>
    <w:rsid w:val="713003C1"/>
    <w:rsid w:val="71AD65AB"/>
    <w:rsid w:val="72190E55"/>
    <w:rsid w:val="72E94CCB"/>
    <w:rsid w:val="72E96A79"/>
    <w:rsid w:val="72EB27F1"/>
    <w:rsid w:val="72FF44EF"/>
    <w:rsid w:val="73494652"/>
    <w:rsid w:val="736E51D0"/>
    <w:rsid w:val="74561EEC"/>
    <w:rsid w:val="7502519B"/>
    <w:rsid w:val="750E6C6B"/>
    <w:rsid w:val="75271ADB"/>
    <w:rsid w:val="75720FA8"/>
    <w:rsid w:val="757765BE"/>
    <w:rsid w:val="75C64E50"/>
    <w:rsid w:val="75CA0DE4"/>
    <w:rsid w:val="75F93477"/>
    <w:rsid w:val="765863F0"/>
    <w:rsid w:val="769E5DCD"/>
    <w:rsid w:val="76D11CFE"/>
    <w:rsid w:val="76E063E5"/>
    <w:rsid w:val="77804B1B"/>
    <w:rsid w:val="77A25449"/>
    <w:rsid w:val="77A6318B"/>
    <w:rsid w:val="77AD4519"/>
    <w:rsid w:val="77BF5FFA"/>
    <w:rsid w:val="77CF26E1"/>
    <w:rsid w:val="77EB5041"/>
    <w:rsid w:val="78202F3D"/>
    <w:rsid w:val="7863107C"/>
    <w:rsid w:val="789B0816"/>
    <w:rsid w:val="78D14237"/>
    <w:rsid w:val="78E21FA1"/>
    <w:rsid w:val="78F9378E"/>
    <w:rsid w:val="795D3D1D"/>
    <w:rsid w:val="79D264B9"/>
    <w:rsid w:val="7A124B07"/>
    <w:rsid w:val="7A4153ED"/>
    <w:rsid w:val="7A440A39"/>
    <w:rsid w:val="7A4B0019"/>
    <w:rsid w:val="7A8377B3"/>
    <w:rsid w:val="7B276391"/>
    <w:rsid w:val="7BC77B74"/>
    <w:rsid w:val="7C370855"/>
    <w:rsid w:val="7CE107C1"/>
    <w:rsid w:val="7CFE66BC"/>
    <w:rsid w:val="7D7B0C16"/>
    <w:rsid w:val="7DC75C09"/>
    <w:rsid w:val="7E3E411D"/>
    <w:rsid w:val="7E513504"/>
    <w:rsid w:val="7F0929C2"/>
    <w:rsid w:val="7F601E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1"/>
    <w:autoRedefine/>
    <w:qFormat/>
    <w:uiPriority w:val="0"/>
    <w:pPr>
      <w:jc w:val="left"/>
    </w:pPr>
  </w:style>
  <w:style w:type="paragraph" w:styleId="3">
    <w:name w:val="footer"/>
    <w:basedOn w:val="1"/>
    <w:link w:val="14"/>
    <w:qFormat/>
    <w:uiPriority w:val="0"/>
    <w:pPr>
      <w:tabs>
        <w:tab w:val="center" w:pos="4153"/>
        <w:tab w:val="right" w:pos="8306"/>
      </w:tabs>
      <w:snapToGrid w:val="0"/>
      <w:jc w:val="left"/>
    </w:pPr>
    <w:rPr>
      <w:sz w:val="18"/>
      <w:szCs w:val="18"/>
    </w:rPr>
  </w:style>
  <w:style w:type="paragraph" w:styleId="4">
    <w:name w:val="header"/>
    <w:basedOn w:val="1"/>
    <w:link w:val="13"/>
    <w:autoRedefine/>
    <w:qFormat/>
    <w:uiPriority w:val="0"/>
    <w:pPr>
      <w:tabs>
        <w:tab w:val="center" w:pos="4153"/>
        <w:tab w:val="right" w:pos="8306"/>
      </w:tabs>
      <w:snapToGrid w:val="0"/>
      <w:jc w:val="center"/>
    </w:pPr>
    <w:rPr>
      <w:sz w:val="18"/>
      <w:szCs w:val="18"/>
    </w:rPr>
  </w:style>
  <w:style w:type="paragraph" w:styleId="5">
    <w:name w:val="Normal (Web)"/>
    <w:basedOn w:val="1"/>
    <w:autoRedefine/>
    <w:qFormat/>
    <w:uiPriority w:val="0"/>
    <w:pPr>
      <w:widowControl/>
      <w:shd w:val="clear" w:color="auto" w:fill="FFFFFF"/>
      <w:spacing w:line="580" w:lineRule="exact"/>
      <w:ind w:firstLine="640" w:firstLineChars="200"/>
    </w:pPr>
    <w:rPr>
      <w:rFonts w:ascii="Times New Roman" w:hAnsi="Times New Roman" w:eastAsia="方正楷体_GBK" w:cs="Times New Roman"/>
      <w:kern w:val="0"/>
      <w:sz w:val="32"/>
      <w:szCs w:val="32"/>
    </w:rPr>
  </w:style>
  <w:style w:type="paragraph" w:styleId="6">
    <w:name w:val="annotation subject"/>
    <w:basedOn w:val="2"/>
    <w:next w:val="2"/>
    <w:link w:val="12"/>
    <w:autoRedefine/>
    <w:qFormat/>
    <w:uiPriority w:val="0"/>
    <w:rPr>
      <w:b/>
      <w:bCs/>
    </w:rPr>
  </w:style>
  <w:style w:type="character" w:styleId="9">
    <w:name w:val="Strong"/>
    <w:basedOn w:val="8"/>
    <w:autoRedefine/>
    <w:qFormat/>
    <w:uiPriority w:val="0"/>
    <w:rPr>
      <w:b/>
    </w:rPr>
  </w:style>
  <w:style w:type="character" w:styleId="10">
    <w:name w:val="annotation reference"/>
    <w:basedOn w:val="8"/>
    <w:autoRedefine/>
    <w:qFormat/>
    <w:uiPriority w:val="0"/>
    <w:rPr>
      <w:sz w:val="21"/>
      <w:szCs w:val="21"/>
    </w:rPr>
  </w:style>
  <w:style w:type="character" w:customStyle="1" w:styleId="11">
    <w:name w:val="批注文字 字符"/>
    <w:basedOn w:val="8"/>
    <w:link w:val="2"/>
    <w:autoRedefine/>
    <w:qFormat/>
    <w:uiPriority w:val="0"/>
    <w:rPr>
      <w:rFonts w:ascii="Calibri" w:hAnsi="Calibri" w:cs="Calibri"/>
      <w:kern w:val="2"/>
      <w:sz w:val="21"/>
      <w:szCs w:val="21"/>
    </w:rPr>
  </w:style>
  <w:style w:type="character" w:customStyle="1" w:styleId="12">
    <w:name w:val="批注主题 字符"/>
    <w:basedOn w:val="11"/>
    <w:link w:val="6"/>
    <w:autoRedefine/>
    <w:qFormat/>
    <w:uiPriority w:val="0"/>
    <w:rPr>
      <w:rFonts w:ascii="Calibri" w:hAnsi="Calibri" w:cs="Calibri"/>
      <w:b/>
      <w:bCs/>
      <w:kern w:val="2"/>
      <w:sz w:val="21"/>
      <w:szCs w:val="21"/>
    </w:rPr>
  </w:style>
  <w:style w:type="character" w:customStyle="1" w:styleId="13">
    <w:name w:val="页眉 字符"/>
    <w:basedOn w:val="8"/>
    <w:link w:val="4"/>
    <w:autoRedefine/>
    <w:qFormat/>
    <w:uiPriority w:val="0"/>
    <w:rPr>
      <w:rFonts w:ascii="Calibri" w:hAnsi="Calibri" w:cs="Calibri"/>
      <w:kern w:val="2"/>
      <w:sz w:val="18"/>
      <w:szCs w:val="18"/>
    </w:rPr>
  </w:style>
  <w:style w:type="character" w:customStyle="1" w:styleId="14">
    <w:name w:val="页脚 字符"/>
    <w:basedOn w:val="8"/>
    <w:link w:val="3"/>
    <w:autoRedefine/>
    <w:qFormat/>
    <w:uiPriority w:val="0"/>
    <w:rPr>
      <w:rFonts w:ascii="Calibri" w:hAnsi="Calibri" w:cs="Calibr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727</Words>
  <Characters>4147</Characters>
  <Lines>34</Lines>
  <Paragraphs>9</Paragraphs>
  <TotalTime>101</TotalTime>
  <ScaleCrop>false</ScaleCrop>
  <LinksUpToDate>false</LinksUpToDate>
  <CharactersWithSpaces>4865</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2023-12-31T08:13:00Z</dcterms:created>
  <dc:creator>Administrator</dc:creator>
  <cp:lastModifiedBy>单单</cp:lastModifiedBy>
  <cp:lastPrinted>2023-08-07T02:51:00Z</cp:lastPrinted>
  <dcterms:modified xsi:type="dcterms:W3CDTF">2024-01-11T07:07:07Z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5626769FEBE145DFA6C82C37D3BBA44B_13</vt:lpwstr>
  </property>
</Properties>
</file>