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2F360">
      <w:pPr>
        <w:spacing w:line="440" w:lineRule="exact"/>
        <w:jc w:val="center"/>
        <w:rPr>
          <w:rFonts w:hint="eastAsia" w:ascii="宋体" w:hAnsi="宋体" w:cs="宋体"/>
          <w:b/>
          <w:color w:val="000000"/>
          <w:sz w:val="32"/>
          <w:szCs w:val="32"/>
        </w:rPr>
      </w:pPr>
      <w:r>
        <w:rPr>
          <w:rFonts w:hint="eastAsia" w:ascii="宋体" w:hAnsi="宋体" w:cs="宋体"/>
          <w:b/>
          <w:color w:val="000000"/>
          <w:sz w:val="32"/>
          <w:szCs w:val="32"/>
        </w:rPr>
        <w:t>启东高新区（近海镇）路灯节能改造及养护服务采购项目</w:t>
      </w:r>
    </w:p>
    <w:p w14:paraId="7B93E2AC">
      <w:pPr>
        <w:spacing w:line="440" w:lineRule="exact"/>
        <w:jc w:val="center"/>
        <w:textAlignment w:val="auto"/>
        <w:rPr>
          <w:rFonts w:hint="eastAsia" w:asciiTheme="majorEastAsia" w:hAnsiTheme="majorEastAsia" w:eastAsiaTheme="majorEastAsia"/>
          <w:b/>
          <w:sz w:val="32"/>
          <w:szCs w:val="32"/>
          <w:shd w:val="clear" w:color="auto" w:fill="FFFFFF"/>
        </w:rPr>
      </w:pPr>
      <w:r>
        <w:rPr>
          <w:rFonts w:hint="eastAsia" w:asciiTheme="majorEastAsia" w:hAnsiTheme="majorEastAsia" w:eastAsiaTheme="majorEastAsia"/>
          <w:b/>
          <w:sz w:val="32"/>
          <w:szCs w:val="32"/>
          <w:shd w:val="clear" w:color="auto" w:fill="FFFFFF"/>
        </w:rPr>
        <w:t>市场询价公告</w:t>
      </w:r>
    </w:p>
    <w:p w14:paraId="1E435995">
      <w:pPr>
        <w:spacing w:line="430" w:lineRule="exact"/>
        <w:ind w:firstLine="566" w:firstLineChars="236"/>
        <w:jc w:val="left"/>
        <w:textAlignment w:val="auto"/>
        <w:rPr>
          <w:rStyle w:val="21"/>
          <w:rFonts w:hint="eastAsia" w:cs="仿宋" w:asciiTheme="minorEastAsia" w:hAnsiTheme="minorEastAsia" w:eastAsiaTheme="minorEastAsia"/>
          <w:kern w:val="0"/>
          <w:sz w:val="24"/>
          <w:szCs w:val="24"/>
        </w:rPr>
      </w:pPr>
      <w:r>
        <w:rPr>
          <w:rStyle w:val="21"/>
          <w:rFonts w:hint="eastAsia" w:cs="仿宋" w:asciiTheme="minorEastAsia" w:hAnsiTheme="minorEastAsia" w:eastAsiaTheme="minorEastAsia"/>
          <w:kern w:val="0"/>
          <w:sz w:val="24"/>
          <w:szCs w:val="24"/>
        </w:rPr>
        <w:t>启东高新区（近海镇）路灯节能改造及养护服务采购项目即将实施，现就本项目服务采购进行市场询价调研，欢迎符合资格要求的单位参与报价。</w:t>
      </w:r>
    </w:p>
    <w:p w14:paraId="20001A8B">
      <w:pPr>
        <w:spacing w:line="520" w:lineRule="exact"/>
        <w:jc w:val="center"/>
        <w:rPr>
          <w:rStyle w:val="25"/>
          <w:rFonts w:hint="eastAsia" w:ascii="宋体" w:hAnsi="宋体" w:cs="宋体"/>
          <w:b/>
          <w:bCs/>
          <w:color w:val="000000"/>
          <w:sz w:val="28"/>
          <w:szCs w:val="28"/>
        </w:rPr>
      </w:pPr>
      <w:r>
        <w:rPr>
          <w:rStyle w:val="25"/>
          <w:rFonts w:hint="eastAsia" w:ascii="宋体" w:hAnsi="宋体" w:cs="宋体"/>
          <w:b/>
          <w:bCs/>
          <w:color w:val="000000"/>
          <w:sz w:val="28"/>
          <w:szCs w:val="28"/>
        </w:rPr>
        <w:t>《启东高新区（近海镇）路灯节能改造及养护服务采购</w:t>
      </w:r>
      <w:r>
        <w:rPr>
          <w:rStyle w:val="25"/>
          <w:rFonts w:hint="eastAsia" w:ascii="宋体" w:hAnsi="宋体" w:cs="宋体"/>
          <w:b/>
          <w:bCs/>
          <w:color w:val="000000"/>
          <w:sz w:val="28"/>
          <w:szCs w:val="28"/>
          <w:lang w:val="en-US"/>
        </w:rPr>
        <w:t>项目</w:t>
      </w:r>
      <w:r>
        <w:rPr>
          <w:rStyle w:val="25"/>
          <w:rFonts w:hint="eastAsia" w:ascii="宋体" w:hAnsi="宋体" w:cs="宋体"/>
          <w:b/>
          <w:bCs/>
          <w:color w:val="000000"/>
          <w:sz w:val="28"/>
          <w:szCs w:val="28"/>
        </w:rPr>
        <w:t>需求表》</w:t>
      </w:r>
    </w:p>
    <w:tbl>
      <w:tblPr>
        <w:tblStyle w:val="13"/>
        <w:tblW w:w="1006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2609"/>
        <w:gridCol w:w="774"/>
        <w:gridCol w:w="3810"/>
        <w:gridCol w:w="1454"/>
        <w:gridCol w:w="850"/>
      </w:tblGrid>
      <w:tr w14:paraId="6E39A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568" w:type="dxa"/>
            <w:vAlign w:val="center"/>
          </w:tcPr>
          <w:p w14:paraId="3F06F853">
            <w:pPr>
              <w:spacing w:line="520" w:lineRule="exact"/>
              <w:jc w:val="center"/>
              <w:rPr>
                <w:rStyle w:val="25"/>
                <w:rFonts w:hint="eastAsia" w:ascii="宋体" w:hAnsi="宋体" w:cs="宋体"/>
                <w:color w:val="000000" w:themeColor="text1"/>
                <w:sz w:val="28"/>
                <w:szCs w:val="28"/>
                <w14:textFill>
                  <w14:solidFill>
                    <w14:schemeClr w14:val="tx1"/>
                  </w14:solidFill>
                </w14:textFill>
              </w:rPr>
            </w:pPr>
            <w:r>
              <w:rPr>
                <w:rStyle w:val="25"/>
                <w:rFonts w:hint="eastAsia" w:ascii="宋体" w:hAnsi="宋体" w:cs="宋体"/>
                <w:color w:val="000000" w:themeColor="text1"/>
                <w:sz w:val="28"/>
                <w:szCs w:val="28"/>
                <w14:textFill>
                  <w14:solidFill>
                    <w14:schemeClr w14:val="tx1"/>
                  </w14:solidFill>
                </w14:textFill>
              </w:rPr>
              <w:t>序号</w:t>
            </w:r>
          </w:p>
        </w:tc>
        <w:tc>
          <w:tcPr>
            <w:tcW w:w="2609" w:type="dxa"/>
            <w:vAlign w:val="center"/>
          </w:tcPr>
          <w:p w14:paraId="097159FA">
            <w:pPr>
              <w:spacing w:line="520" w:lineRule="exact"/>
              <w:jc w:val="center"/>
              <w:rPr>
                <w:rStyle w:val="25"/>
                <w:rFonts w:hint="eastAsia" w:ascii="宋体" w:hAnsi="宋体" w:cs="宋体"/>
                <w:color w:val="000000" w:themeColor="text1"/>
                <w:sz w:val="28"/>
                <w:szCs w:val="28"/>
                <w14:textFill>
                  <w14:solidFill>
                    <w14:schemeClr w14:val="tx1"/>
                  </w14:solidFill>
                </w14:textFill>
              </w:rPr>
            </w:pPr>
            <w:r>
              <w:rPr>
                <w:rStyle w:val="25"/>
                <w:rFonts w:hint="eastAsia" w:ascii="宋体" w:hAnsi="宋体" w:cs="宋体"/>
                <w:color w:val="000000" w:themeColor="text1"/>
                <w:sz w:val="28"/>
                <w:szCs w:val="28"/>
                <w14:textFill>
                  <w14:solidFill>
                    <w14:schemeClr w14:val="tx1"/>
                  </w14:solidFill>
                </w14:textFill>
              </w:rPr>
              <w:t>改造方案</w:t>
            </w:r>
          </w:p>
        </w:tc>
        <w:tc>
          <w:tcPr>
            <w:tcW w:w="774" w:type="dxa"/>
            <w:vAlign w:val="center"/>
          </w:tcPr>
          <w:p w14:paraId="5C958CC8">
            <w:pPr>
              <w:spacing w:line="520" w:lineRule="exact"/>
              <w:jc w:val="center"/>
              <w:rPr>
                <w:rStyle w:val="25"/>
                <w:rFonts w:hint="eastAsia" w:ascii="宋体" w:hAnsi="宋体" w:cs="宋体"/>
                <w:color w:val="000000" w:themeColor="text1"/>
                <w14:textFill>
                  <w14:solidFill>
                    <w14:schemeClr w14:val="tx1"/>
                  </w14:solidFill>
                </w14:textFill>
              </w:rPr>
            </w:pPr>
            <w:r>
              <w:rPr>
                <w:rStyle w:val="25"/>
                <w:rFonts w:hint="eastAsia" w:ascii="宋体" w:hAnsi="宋体" w:cs="宋体"/>
                <w:color w:val="000000" w:themeColor="text1"/>
                <w14:textFill>
                  <w14:solidFill>
                    <w14:schemeClr w14:val="tx1"/>
                  </w14:solidFill>
                </w14:textFill>
              </w:rPr>
              <w:t>灯杆高度</w:t>
            </w:r>
          </w:p>
        </w:tc>
        <w:tc>
          <w:tcPr>
            <w:tcW w:w="3810" w:type="dxa"/>
            <w:vAlign w:val="center"/>
          </w:tcPr>
          <w:p w14:paraId="7046C100">
            <w:pPr>
              <w:spacing w:line="520" w:lineRule="exact"/>
              <w:jc w:val="center"/>
              <w:rPr>
                <w:rStyle w:val="25"/>
                <w:rFonts w:hint="eastAsia" w:ascii="宋体" w:hAnsi="宋体" w:cs="宋体"/>
                <w:color w:val="000000" w:themeColor="text1"/>
                <w:sz w:val="28"/>
                <w:szCs w:val="28"/>
                <w14:textFill>
                  <w14:solidFill>
                    <w14:schemeClr w14:val="tx1"/>
                  </w14:solidFill>
                </w14:textFill>
              </w:rPr>
            </w:pPr>
            <w:r>
              <w:rPr>
                <w:rStyle w:val="25"/>
                <w:rFonts w:hint="eastAsia" w:ascii="宋体" w:hAnsi="宋体" w:cs="宋体"/>
                <w:color w:val="000000" w:themeColor="text1"/>
                <w:sz w:val="28"/>
                <w:szCs w:val="28"/>
                <w14:textFill>
                  <w14:solidFill>
                    <w14:schemeClr w14:val="tx1"/>
                  </w14:solidFill>
                </w14:textFill>
              </w:rPr>
              <w:t>改造内容</w:t>
            </w:r>
          </w:p>
          <w:p w14:paraId="65670FDD">
            <w:pPr>
              <w:spacing w:line="520" w:lineRule="exact"/>
              <w:jc w:val="center"/>
              <w:rPr>
                <w:rStyle w:val="25"/>
                <w:rFonts w:hint="eastAsia" w:ascii="宋体" w:hAnsi="宋体" w:cs="宋体"/>
                <w:color w:val="000000" w:themeColor="text1"/>
                <w:sz w:val="18"/>
                <w:szCs w:val="18"/>
                <w14:textFill>
                  <w14:solidFill>
                    <w14:schemeClr w14:val="tx1"/>
                  </w14:solidFill>
                </w14:textFill>
              </w:rPr>
            </w:pPr>
            <w:r>
              <w:rPr>
                <w:rStyle w:val="25"/>
                <w:rFonts w:hint="eastAsia" w:ascii="宋体" w:hAnsi="宋体" w:cs="宋体"/>
                <w:color w:val="000000" w:themeColor="text1"/>
                <w:sz w:val="18"/>
                <w:szCs w:val="18"/>
                <w14:textFill>
                  <w14:solidFill>
                    <w14:schemeClr w14:val="tx1"/>
                  </w14:solidFill>
                </w14:textFill>
              </w:rPr>
              <w:t>（包括：太阳能光伏板、蓄电池、灯具、控制器；以及加装太阳能系统后旧灯杆、路灯基础采取的必要的加固措施）</w:t>
            </w:r>
          </w:p>
        </w:tc>
        <w:tc>
          <w:tcPr>
            <w:tcW w:w="1454" w:type="dxa"/>
            <w:vAlign w:val="center"/>
          </w:tcPr>
          <w:p w14:paraId="3DD87CA8">
            <w:pPr>
              <w:spacing w:line="520" w:lineRule="exact"/>
              <w:jc w:val="center"/>
              <w:rPr>
                <w:rStyle w:val="25"/>
                <w:rFonts w:hint="eastAsia" w:ascii="宋体" w:hAnsi="宋体" w:cs="宋体"/>
                <w:color w:val="000000" w:themeColor="text1"/>
                <w:sz w:val="28"/>
                <w:szCs w:val="28"/>
                <w14:textFill>
                  <w14:solidFill>
                    <w14:schemeClr w14:val="tx1"/>
                  </w14:solidFill>
                </w14:textFill>
              </w:rPr>
            </w:pPr>
            <w:r>
              <w:rPr>
                <w:rStyle w:val="25"/>
                <w:rFonts w:hint="eastAsia" w:ascii="宋体" w:hAnsi="宋体" w:cs="宋体"/>
                <w:color w:val="000000" w:themeColor="text1"/>
                <w:sz w:val="28"/>
                <w:szCs w:val="28"/>
                <w14:textFill>
                  <w14:solidFill>
                    <w14:schemeClr w14:val="tx1"/>
                  </w14:solidFill>
                </w14:textFill>
              </w:rPr>
              <w:t>改造数量</w:t>
            </w:r>
          </w:p>
          <w:p w14:paraId="35331E09">
            <w:pPr>
              <w:spacing w:line="520" w:lineRule="exact"/>
              <w:jc w:val="center"/>
              <w:rPr>
                <w:rStyle w:val="25"/>
                <w:rFonts w:hint="eastAsia" w:ascii="宋体" w:hAnsi="宋体" w:cs="宋体"/>
                <w:color w:val="000000" w:themeColor="text1"/>
                <w:sz w:val="28"/>
                <w:szCs w:val="28"/>
                <w14:textFill>
                  <w14:solidFill>
                    <w14:schemeClr w14:val="tx1"/>
                  </w14:solidFill>
                </w14:textFill>
              </w:rPr>
            </w:pPr>
            <w:r>
              <w:rPr>
                <w:rStyle w:val="25"/>
                <w:rFonts w:hint="eastAsia" w:ascii="宋体" w:hAnsi="宋体" w:cs="宋体"/>
                <w:color w:val="000000" w:themeColor="text1"/>
                <w:sz w:val="28"/>
                <w:szCs w:val="28"/>
                <w14:textFill>
                  <w14:solidFill>
                    <w14:schemeClr w14:val="tx1"/>
                  </w14:solidFill>
                </w14:textFill>
              </w:rPr>
              <w:t>（盏）</w:t>
            </w:r>
          </w:p>
        </w:tc>
        <w:tc>
          <w:tcPr>
            <w:tcW w:w="850" w:type="dxa"/>
            <w:vAlign w:val="center"/>
          </w:tcPr>
          <w:p w14:paraId="0514136B">
            <w:pPr>
              <w:spacing w:line="520" w:lineRule="exact"/>
              <w:jc w:val="center"/>
              <w:rPr>
                <w:rStyle w:val="25"/>
                <w:rFonts w:hint="eastAsia" w:ascii="宋体" w:hAnsi="宋体" w:cs="宋体"/>
                <w:color w:val="000000" w:themeColor="text1"/>
                <w:sz w:val="28"/>
                <w:szCs w:val="28"/>
                <w14:textFill>
                  <w14:solidFill>
                    <w14:schemeClr w14:val="tx1"/>
                  </w14:solidFill>
                </w14:textFill>
              </w:rPr>
            </w:pPr>
            <w:r>
              <w:rPr>
                <w:rStyle w:val="25"/>
                <w:rFonts w:hint="eastAsia" w:ascii="宋体" w:hAnsi="宋体" w:cs="宋体"/>
                <w:color w:val="000000" w:themeColor="text1"/>
                <w:sz w:val="28"/>
                <w:szCs w:val="28"/>
                <w14:textFill>
                  <w14:solidFill>
                    <w14:schemeClr w14:val="tx1"/>
                  </w14:solidFill>
                </w14:textFill>
              </w:rPr>
              <w:t>备注</w:t>
            </w:r>
          </w:p>
        </w:tc>
      </w:tr>
      <w:tr w14:paraId="4071F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68" w:type="dxa"/>
            <w:vMerge w:val="restart"/>
            <w:vAlign w:val="center"/>
          </w:tcPr>
          <w:p w14:paraId="3422802B">
            <w:pPr>
              <w:spacing w:line="520" w:lineRule="exact"/>
              <w:jc w:val="center"/>
              <w:rPr>
                <w:rStyle w:val="25"/>
                <w:rFonts w:hint="eastAsia"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1</w:t>
            </w:r>
          </w:p>
        </w:tc>
        <w:tc>
          <w:tcPr>
            <w:tcW w:w="2609" w:type="dxa"/>
            <w:vMerge w:val="restart"/>
            <w:vAlign w:val="center"/>
          </w:tcPr>
          <w:p w14:paraId="2A9BC9D0">
            <w:pPr>
              <w:spacing w:line="520" w:lineRule="exact"/>
              <w:jc w:val="center"/>
              <w:rPr>
                <w:rStyle w:val="25"/>
                <w:rFonts w:hint="eastAsia"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普通路灯头改造为太阳能路灯</w:t>
            </w:r>
            <w:r>
              <w:rPr>
                <w:rStyle w:val="25"/>
                <w:rFonts w:hint="eastAsia" w:ascii="宋体" w:hAnsi="宋体" w:cs="宋体"/>
                <w:color w:val="000000" w:themeColor="text1"/>
                <w:sz w:val="18"/>
                <w:szCs w:val="18"/>
                <w14:textFill>
                  <w14:solidFill>
                    <w14:schemeClr w14:val="tx1"/>
                  </w14:solidFill>
                </w14:textFill>
              </w:rPr>
              <w:t>（利用旧灯杆，制作适配的安装支架）</w:t>
            </w:r>
          </w:p>
        </w:tc>
        <w:tc>
          <w:tcPr>
            <w:tcW w:w="774" w:type="dxa"/>
            <w:vAlign w:val="center"/>
          </w:tcPr>
          <w:p w14:paraId="359A0263">
            <w:pPr>
              <w:spacing w:line="520" w:lineRule="exact"/>
              <w:jc w:val="center"/>
              <w:rPr>
                <w:rStyle w:val="25"/>
                <w:rFonts w:hint="eastAsia"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10m</w:t>
            </w:r>
          </w:p>
        </w:tc>
        <w:tc>
          <w:tcPr>
            <w:tcW w:w="3810" w:type="dxa"/>
            <w:vAlign w:val="center"/>
          </w:tcPr>
          <w:p w14:paraId="705A50ED">
            <w:pPr>
              <w:spacing w:line="520" w:lineRule="exact"/>
              <w:jc w:val="center"/>
              <w:rPr>
                <w:rStyle w:val="25"/>
                <w:rFonts w:hint="eastAsia"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120W太阳能路灯</w:t>
            </w:r>
          </w:p>
        </w:tc>
        <w:tc>
          <w:tcPr>
            <w:tcW w:w="1454" w:type="dxa"/>
            <w:vAlign w:val="center"/>
          </w:tcPr>
          <w:p w14:paraId="53DF8071">
            <w:pPr>
              <w:spacing w:line="520" w:lineRule="exact"/>
              <w:jc w:val="center"/>
              <w:rPr>
                <w:rStyle w:val="25"/>
                <w:rFonts w:hint="eastAsia"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2052</w:t>
            </w:r>
          </w:p>
        </w:tc>
        <w:tc>
          <w:tcPr>
            <w:tcW w:w="850" w:type="dxa"/>
            <w:vAlign w:val="center"/>
          </w:tcPr>
          <w:p w14:paraId="404F6211">
            <w:pPr>
              <w:spacing w:line="520" w:lineRule="exact"/>
              <w:jc w:val="center"/>
              <w:rPr>
                <w:rStyle w:val="25"/>
                <w:rFonts w:hint="eastAsia" w:ascii="宋体" w:hAnsi="宋体" w:cs="宋体"/>
                <w:color w:val="000000" w:themeColor="text1"/>
                <w:sz w:val="24"/>
                <w14:textFill>
                  <w14:solidFill>
                    <w14:schemeClr w14:val="tx1"/>
                  </w14:solidFill>
                </w14:textFill>
              </w:rPr>
            </w:pPr>
          </w:p>
        </w:tc>
      </w:tr>
      <w:tr w14:paraId="32999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568" w:type="dxa"/>
            <w:vMerge w:val="continue"/>
            <w:vAlign w:val="center"/>
          </w:tcPr>
          <w:p w14:paraId="6F6C1726">
            <w:pPr>
              <w:spacing w:line="520" w:lineRule="exact"/>
              <w:jc w:val="center"/>
              <w:rPr>
                <w:rStyle w:val="25"/>
                <w:rFonts w:hint="eastAsia" w:ascii="宋体" w:hAnsi="宋体" w:cs="宋体"/>
                <w:color w:val="000000" w:themeColor="text1"/>
                <w:sz w:val="24"/>
                <w14:textFill>
                  <w14:solidFill>
                    <w14:schemeClr w14:val="tx1"/>
                  </w14:solidFill>
                </w14:textFill>
              </w:rPr>
            </w:pPr>
          </w:p>
        </w:tc>
        <w:tc>
          <w:tcPr>
            <w:tcW w:w="2609" w:type="dxa"/>
            <w:vMerge w:val="continue"/>
            <w:vAlign w:val="center"/>
          </w:tcPr>
          <w:p w14:paraId="20C10C2F">
            <w:pPr>
              <w:spacing w:line="520" w:lineRule="exact"/>
              <w:jc w:val="center"/>
              <w:rPr>
                <w:rStyle w:val="25"/>
                <w:rFonts w:hint="eastAsia" w:ascii="宋体" w:hAnsi="宋体" w:cs="宋体"/>
                <w:color w:val="000000" w:themeColor="text1"/>
                <w:sz w:val="24"/>
                <w14:textFill>
                  <w14:solidFill>
                    <w14:schemeClr w14:val="tx1"/>
                  </w14:solidFill>
                </w14:textFill>
              </w:rPr>
            </w:pPr>
          </w:p>
        </w:tc>
        <w:tc>
          <w:tcPr>
            <w:tcW w:w="774" w:type="dxa"/>
            <w:vAlign w:val="center"/>
          </w:tcPr>
          <w:p w14:paraId="28FD38D3">
            <w:pPr>
              <w:spacing w:line="520" w:lineRule="exact"/>
              <w:jc w:val="center"/>
              <w:rPr>
                <w:rStyle w:val="25"/>
                <w:rFonts w:hint="eastAsia"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9m</w:t>
            </w:r>
          </w:p>
        </w:tc>
        <w:tc>
          <w:tcPr>
            <w:tcW w:w="3810" w:type="dxa"/>
            <w:vAlign w:val="center"/>
          </w:tcPr>
          <w:p w14:paraId="1579B0A6">
            <w:pPr>
              <w:spacing w:line="520" w:lineRule="exact"/>
              <w:jc w:val="center"/>
              <w:rPr>
                <w:rStyle w:val="25"/>
                <w:rFonts w:hint="eastAsia"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60W太阳能路灯</w:t>
            </w:r>
          </w:p>
        </w:tc>
        <w:tc>
          <w:tcPr>
            <w:tcW w:w="1454" w:type="dxa"/>
            <w:vAlign w:val="center"/>
          </w:tcPr>
          <w:p w14:paraId="787A9A68">
            <w:pPr>
              <w:spacing w:line="520" w:lineRule="exact"/>
              <w:jc w:val="center"/>
              <w:rPr>
                <w:rStyle w:val="25"/>
                <w:rFonts w:hint="eastAsia"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38</w:t>
            </w:r>
          </w:p>
        </w:tc>
        <w:tc>
          <w:tcPr>
            <w:tcW w:w="850" w:type="dxa"/>
            <w:vAlign w:val="center"/>
          </w:tcPr>
          <w:p w14:paraId="12827A46">
            <w:pPr>
              <w:spacing w:line="520" w:lineRule="exact"/>
              <w:jc w:val="center"/>
              <w:rPr>
                <w:rStyle w:val="25"/>
                <w:rFonts w:hint="eastAsia" w:ascii="宋体" w:hAnsi="宋体" w:cs="宋体"/>
                <w:color w:val="000000" w:themeColor="text1"/>
                <w:sz w:val="24"/>
                <w14:textFill>
                  <w14:solidFill>
                    <w14:schemeClr w14:val="tx1"/>
                  </w14:solidFill>
                </w14:textFill>
              </w:rPr>
            </w:pPr>
          </w:p>
        </w:tc>
      </w:tr>
      <w:tr w14:paraId="1512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68" w:type="dxa"/>
            <w:vMerge w:val="continue"/>
            <w:vAlign w:val="center"/>
          </w:tcPr>
          <w:p w14:paraId="4964ABBE">
            <w:pPr>
              <w:spacing w:line="520" w:lineRule="exact"/>
              <w:jc w:val="center"/>
              <w:rPr>
                <w:rStyle w:val="25"/>
                <w:rFonts w:hint="eastAsia" w:ascii="宋体" w:hAnsi="宋体" w:cs="宋体"/>
                <w:color w:val="000000" w:themeColor="text1"/>
                <w:sz w:val="24"/>
                <w14:textFill>
                  <w14:solidFill>
                    <w14:schemeClr w14:val="tx1"/>
                  </w14:solidFill>
                </w14:textFill>
              </w:rPr>
            </w:pPr>
          </w:p>
        </w:tc>
        <w:tc>
          <w:tcPr>
            <w:tcW w:w="2609" w:type="dxa"/>
            <w:vMerge w:val="continue"/>
            <w:vAlign w:val="center"/>
          </w:tcPr>
          <w:p w14:paraId="361D6E6B">
            <w:pPr>
              <w:spacing w:line="520" w:lineRule="exact"/>
              <w:jc w:val="center"/>
              <w:rPr>
                <w:rStyle w:val="25"/>
                <w:rFonts w:hint="eastAsia" w:ascii="宋体" w:hAnsi="宋体" w:cs="宋体"/>
                <w:color w:val="000000" w:themeColor="text1"/>
                <w:sz w:val="24"/>
                <w14:textFill>
                  <w14:solidFill>
                    <w14:schemeClr w14:val="tx1"/>
                  </w14:solidFill>
                </w14:textFill>
              </w:rPr>
            </w:pPr>
          </w:p>
        </w:tc>
        <w:tc>
          <w:tcPr>
            <w:tcW w:w="774" w:type="dxa"/>
            <w:vAlign w:val="center"/>
          </w:tcPr>
          <w:p w14:paraId="2221C2E8">
            <w:pPr>
              <w:spacing w:line="520" w:lineRule="exact"/>
              <w:jc w:val="center"/>
              <w:rPr>
                <w:rStyle w:val="25"/>
                <w:rFonts w:hint="eastAsia"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8m</w:t>
            </w:r>
          </w:p>
        </w:tc>
        <w:tc>
          <w:tcPr>
            <w:tcW w:w="3810" w:type="dxa"/>
            <w:vAlign w:val="center"/>
          </w:tcPr>
          <w:p w14:paraId="043F156D">
            <w:pPr>
              <w:spacing w:line="520" w:lineRule="exact"/>
              <w:jc w:val="center"/>
              <w:rPr>
                <w:rStyle w:val="25"/>
                <w:rFonts w:hint="eastAsia"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50W太阳能路灯</w:t>
            </w:r>
          </w:p>
        </w:tc>
        <w:tc>
          <w:tcPr>
            <w:tcW w:w="1454" w:type="dxa"/>
            <w:vAlign w:val="center"/>
          </w:tcPr>
          <w:p w14:paraId="0325B398">
            <w:pPr>
              <w:spacing w:line="520" w:lineRule="exact"/>
              <w:jc w:val="center"/>
              <w:rPr>
                <w:rStyle w:val="25"/>
                <w:rFonts w:hint="eastAsia"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484</w:t>
            </w:r>
          </w:p>
        </w:tc>
        <w:tc>
          <w:tcPr>
            <w:tcW w:w="850" w:type="dxa"/>
            <w:vAlign w:val="center"/>
          </w:tcPr>
          <w:p w14:paraId="58677C26">
            <w:pPr>
              <w:spacing w:line="520" w:lineRule="exact"/>
              <w:jc w:val="center"/>
              <w:rPr>
                <w:rStyle w:val="25"/>
                <w:rFonts w:hint="eastAsia" w:ascii="宋体" w:hAnsi="宋体" w:cs="宋体"/>
                <w:color w:val="000000" w:themeColor="text1"/>
                <w:sz w:val="24"/>
                <w14:textFill>
                  <w14:solidFill>
                    <w14:schemeClr w14:val="tx1"/>
                  </w14:solidFill>
                </w14:textFill>
              </w:rPr>
            </w:pPr>
          </w:p>
        </w:tc>
      </w:tr>
      <w:tr w14:paraId="107B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074D46BB">
            <w:pPr>
              <w:spacing w:line="520" w:lineRule="exact"/>
              <w:jc w:val="center"/>
              <w:rPr>
                <w:rStyle w:val="25"/>
                <w:rFonts w:hint="eastAsia"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2</w:t>
            </w:r>
          </w:p>
        </w:tc>
        <w:tc>
          <w:tcPr>
            <w:tcW w:w="2609" w:type="dxa"/>
            <w:vAlign w:val="center"/>
          </w:tcPr>
          <w:p w14:paraId="3A9F1D5F">
            <w:pPr>
              <w:spacing w:line="520" w:lineRule="exact"/>
              <w:jc w:val="center"/>
              <w:rPr>
                <w:rStyle w:val="25"/>
                <w:rFonts w:hint="eastAsia"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庭院灯改造为太阳能路灯</w:t>
            </w:r>
            <w:r>
              <w:rPr>
                <w:rStyle w:val="25"/>
                <w:rFonts w:hint="eastAsia" w:ascii="宋体" w:hAnsi="宋体" w:cs="宋体"/>
                <w:color w:val="000000" w:themeColor="text1"/>
                <w:sz w:val="18"/>
                <w:szCs w:val="18"/>
                <w14:textFill>
                  <w14:solidFill>
                    <w14:schemeClr w14:val="tx1"/>
                  </w14:solidFill>
                </w14:textFill>
              </w:rPr>
              <w:t>（6米高、含灯杆及安装支架）</w:t>
            </w:r>
          </w:p>
        </w:tc>
        <w:tc>
          <w:tcPr>
            <w:tcW w:w="774" w:type="dxa"/>
            <w:vAlign w:val="center"/>
          </w:tcPr>
          <w:p w14:paraId="05368A26">
            <w:pPr>
              <w:spacing w:line="520" w:lineRule="exact"/>
              <w:jc w:val="center"/>
              <w:rPr>
                <w:rStyle w:val="25"/>
                <w:rFonts w:hint="eastAsia"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6m</w:t>
            </w:r>
          </w:p>
        </w:tc>
        <w:tc>
          <w:tcPr>
            <w:tcW w:w="3810" w:type="dxa"/>
            <w:vAlign w:val="center"/>
          </w:tcPr>
          <w:p w14:paraId="185E95F8">
            <w:pPr>
              <w:spacing w:line="520" w:lineRule="exact"/>
              <w:jc w:val="center"/>
              <w:rPr>
                <w:rStyle w:val="25"/>
                <w:rFonts w:hint="eastAsia"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35W太阳能路灯</w:t>
            </w:r>
          </w:p>
        </w:tc>
        <w:tc>
          <w:tcPr>
            <w:tcW w:w="1454" w:type="dxa"/>
            <w:vAlign w:val="center"/>
          </w:tcPr>
          <w:p w14:paraId="7FAC0D7A">
            <w:pPr>
              <w:spacing w:line="520" w:lineRule="exact"/>
              <w:jc w:val="center"/>
              <w:rPr>
                <w:rStyle w:val="25"/>
                <w:rFonts w:hint="eastAsia"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135</w:t>
            </w:r>
          </w:p>
        </w:tc>
        <w:tc>
          <w:tcPr>
            <w:tcW w:w="850" w:type="dxa"/>
            <w:vAlign w:val="center"/>
          </w:tcPr>
          <w:p w14:paraId="068DFEFB">
            <w:pPr>
              <w:spacing w:line="520" w:lineRule="exact"/>
              <w:jc w:val="center"/>
              <w:rPr>
                <w:rStyle w:val="25"/>
                <w:rFonts w:hint="eastAsia"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西振海路</w:t>
            </w:r>
          </w:p>
        </w:tc>
      </w:tr>
      <w:tr w14:paraId="38DF1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6E167CAC">
            <w:pPr>
              <w:spacing w:line="520" w:lineRule="exact"/>
              <w:jc w:val="center"/>
              <w:rPr>
                <w:rStyle w:val="25"/>
                <w:rFonts w:hint="eastAsia"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3</w:t>
            </w:r>
          </w:p>
        </w:tc>
        <w:tc>
          <w:tcPr>
            <w:tcW w:w="2609" w:type="dxa"/>
            <w:vAlign w:val="center"/>
          </w:tcPr>
          <w:p w14:paraId="6FB9B636">
            <w:pPr>
              <w:spacing w:line="520" w:lineRule="exact"/>
              <w:jc w:val="center"/>
              <w:rPr>
                <w:rStyle w:val="25"/>
                <w:rFonts w:hint="eastAsia"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太阳能+市电补能双模式</w:t>
            </w:r>
            <w:r>
              <w:rPr>
                <w:rStyle w:val="25"/>
                <w:rFonts w:hint="eastAsia" w:ascii="宋体" w:hAnsi="宋体" w:cs="宋体"/>
                <w:color w:val="000000" w:themeColor="text1"/>
                <w:sz w:val="18"/>
                <w:szCs w:val="18"/>
                <w14:textFill>
                  <w14:solidFill>
                    <w14:schemeClr w14:val="tx1"/>
                  </w14:solidFill>
                </w14:textFill>
              </w:rPr>
              <w:t>（利用旧灯杆，制作适配的安装支架）</w:t>
            </w:r>
          </w:p>
        </w:tc>
        <w:tc>
          <w:tcPr>
            <w:tcW w:w="774" w:type="dxa"/>
            <w:vAlign w:val="center"/>
          </w:tcPr>
          <w:p w14:paraId="42902CD4">
            <w:pPr>
              <w:spacing w:line="520" w:lineRule="exact"/>
              <w:jc w:val="center"/>
              <w:rPr>
                <w:rStyle w:val="25"/>
                <w:rFonts w:hint="eastAsia"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10m</w:t>
            </w:r>
          </w:p>
        </w:tc>
        <w:tc>
          <w:tcPr>
            <w:tcW w:w="3810" w:type="dxa"/>
            <w:vAlign w:val="center"/>
          </w:tcPr>
          <w:p w14:paraId="30149A8E">
            <w:pPr>
              <w:spacing w:line="520" w:lineRule="exact"/>
              <w:jc w:val="center"/>
              <w:rPr>
                <w:rStyle w:val="25"/>
                <w:rFonts w:hint="eastAsia"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120W太阳能路灯+50W市电补能投光灯</w:t>
            </w:r>
          </w:p>
        </w:tc>
        <w:tc>
          <w:tcPr>
            <w:tcW w:w="1454" w:type="dxa"/>
            <w:vAlign w:val="center"/>
          </w:tcPr>
          <w:p w14:paraId="217A15C0">
            <w:pPr>
              <w:spacing w:line="520" w:lineRule="exact"/>
              <w:jc w:val="center"/>
              <w:rPr>
                <w:rStyle w:val="25"/>
                <w:rFonts w:hint="eastAsia"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259</w:t>
            </w:r>
          </w:p>
        </w:tc>
        <w:tc>
          <w:tcPr>
            <w:tcW w:w="850" w:type="dxa"/>
            <w:vAlign w:val="center"/>
          </w:tcPr>
          <w:p w14:paraId="63A12A42">
            <w:pPr>
              <w:spacing w:line="520" w:lineRule="exact"/>
              <w:jc w:val="center"/>
              <w:rPr>
                <w:rStyle w:val="25"/>
                <w:rFonts w:hint="eastAsia"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南海路</w:t>
            </w:r>
          </w:p>
        </w:tc>
      </w:tr>
      <w:tr w14:paraId="0652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568" w:type="dxa"/>
            <w:vAlign w:val="center"/>
          </w:tcPr>
          <w:p w14:paraId="61D17B03">
            <w:pPr>
              <w:spacing w:line="520" w:lineRule="exact"/>
              <w:jc w:val="center"/>
              <w:rPr>
                <w:rStyle w:val="25"/>
                <w:rFonts w:hint="eastAsia"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4</w:t>
            </w:r>
          </w:p>
        </w:tc>
        <w:tc>
          <w:tcPr>
            <w:tcW w:w="2609" w:type="dxa"/>
            <w:vAlign w:val="center"/>
          </w:tcPr>
          <w:p w14:paraId="3C691A20">
            <w:pPr>
              <w:spacing w:line="520" w:lineRule="exact"/>
              <w:jc w:val="center"/>
              <w:rPr>
                <w:rStyle w:val="25"/>
                <w:rFonts w:hint="eastAsia"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高杆灯</w:t>
            </w:r>
            <w:r>
              <w:rPr>
                <w:rStyle w:val="25"/>
                <w:rFonts w:hint="eastAsia" w:ascii="宋体" w:hAnsi="宋体" w:cs="宋体"/>
                <w:color w:val="000000" w:themeColor="text1"/>
                <w:sz w:val="18"/>
                <w:szCs w:val="18"/>
                <w14:textFill>
                  <w14:solidFill>
                    <w14:schemeClr w14:val="tx1"/>
                  </w14:solidFill>
                </w14:textFill>
              </w:rPr>
              <w:t>（利用旧灯杆，制作适配的安装支架）</w:t>
            </w:r>
          </w:p>
        </w:tc>
        <w:tc>
          <w:tcPr>
            <w:tcW w:w="774" w:type="dxa"/>
            <w:vAlign w:val="center"/>
          </w:tcPr>
          <w:p w14:paraId="271C1704">
            <w:pPr>
              <w:spacing w:line="520" w:lineRule="exact"/>
              <w:jc w:val="center"/>
              <w:rPr>
                <w:rStyle w:val="25"/>
                <w:rFonts w:hint="eastAsia"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12m</w:t>
            </w:r>
          </w:p>
        </w:tc>
        <w:tc>
          <w:tcPr>
            <w:tcW w:w="3810" w:type="dxa"/>
            <w:vAlign w:val="center"/>
          </w:tcPr>
          <w:p w14:paraId="7BABC2AD">
            <w:pPr>
              <w:spacing w:line="520" w:lineRule="exact"/>
              <w:jc w:val="center"/>
              <w:rPr>
                <w:rStyle w:val="25"/>
                <w:rFonts w:hint="eastAsia"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120W太阳能路灯</w:t>
            </w:r>
          </w:p>
        </w:tc>
        <w:tc>
          <w:tcPr>
            <w:tcW w:w="1454" w:type="dxa"/>
            <w:vAlign w:val="center"/>
          </w:tcPr>
          <w:p w14:paraId="075858F8">
            <w:pPr>
              <w:spacing w:line="520" w:lineRule="exact"/>
              <w:jc w:val="center"/>
              <w:rPr>
                <w:rStyle w:val="25"/>
                <w:rFonts w:hint="eastAsia"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114</w:t>
            </w:r>
          </w:p>
        </w:tc>
        <w:tc>
          <w:tcPr>
            <w:tcW w:w="850" w:type="dxa"/>
            <w:vAlign w:val="center"/>
          </w:tcPr>
          <w:p w14:paraId="6359C7C8">
            <w:pPr>
              <w:spacing w:line="520" w:lineRule="exact"/>
              <w:jc w:val="center"/>
              <w:rPr>
                <w:rStyle w:val="25"/>
                <w:rFonts w:hint="eastAsia" w:ascii="宋体" w:hAnsi="宋体" w:cs="宋体"/>
                <w:color w:val="000000" w:themeColor="text1"/>
                <w:sz w:val="24"/>
                <w14:textFill>
                  <w14:solidFill>
                    <w14:schemeClr w14:val="tx1"/>
                  </w14:solidFill>
                </w14:textFill>
              </w:rPr>
            </w:pPr>
          </w:p>
        </w:tc>
      </w:tr>
      <w:tr w14:paraId="24068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568" w:type="dxa"/>
            <w:vAlign w:val="center"/>
          </w:tcPr>
          <w:p w14:paraId="195BEAA1">
            <w:pPr>
              <w:spacing w:line="520" w:lineRule="exact"/>
              <w:jc w:val="center"/>
              <w:rPr>
                <w:rStyle w:val="25"/>
                <w:rFonts w:hint="eastAsia"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5</w:t>
            </w:r>
          </w:p>
        </w:tc>
        <w:tc>
          <w:tcPr>
            <w:tcW w:w="2609" w:type="dxa"/>
            <w:vAlign w:val="center"/>
          </w:tcPr>
          <w:p w14:paraId="7644D224">
            <w:pPr>
              <w:spacing w:line="520" w:lineRule="exact"/>
              <w:jc w:val="center"/>
              <w:rPr>
                <w:rStyle w:val="25"/>
                <w:rFonts w:hint="eastAsia"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太阳能路灯维护</w:t>
            </w:r>
          </w:p>
        </w:tc>
        <w:tc>
          <w:tcPr>
            <w:tcW w:w="774" w:type="dxa"/>
            <w:vAlign w:val="center"/>
          </w:tcPr>
          <w:p w14:paraId="493E9CFF">
            <w:pPr>
              <w:spacing w:line="520" w:lineRule="exact"/>
              <w:jc w:val="center"/>
              <w:rPr>
                <w:rStyle w:val="25"/>
                <w:rFonts w:hint="eastAsia" w:ascii="宋体" w:hAnsi="宋体" w:cs="宋体"/>
                <w:color w:val="000000" w:themeColor="text1"/>
                <w:sz w:val="24"/>
                <w14:textFill>
                  <w14:solidFill>
                    <w14:schemeClr w14:val="tx1"/>
                  </w14:solidFill>
                </w14:textFill>
              </w:rPr>
            </w:pPr>
          </w:p>
        </w:tc>
        <w:tc>
          <w:tcPr>
            <w:tcW w:w="3810" w:type="dxa"/>
            <w:vAlign w:val="center"/>
          </w:tcPr>
          <w:p w14:paraId="0219CE76">
            <w:pPr>
              <w:spacing w:line="520" w:lineRule="exact"/>
              <w:jc w:val="center"/>
              <w:rPr>
                <w:rStyle w:val="25"/>
                <w:rFonts w:hint="eastAsia"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达到路灯养护考核标准</w:t>
            </w:r>
          </w:p>
        </w:tc>
        <w:tc>
          <w:tcPr>
            <w:tcW w:w="1454" w:type="dxa"/>
            <w:vAlign w:val="center"/>
          </w:tcPr>
          <w:p w14:paraId="331246F4">
            <w:pPr>
              <w:spacing w:line="520" w:lineRule="exact"/>
              <w:jc w:val="center"/>
              <w:rPr>
                <w:rStyle w:val="25"/>
                <w:rFonts w:hint="eastAsia"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3082</w:t>
            </w:r>
          </w:p>
        </w:tc>
        <w:tc>
          <w:tcPr>
            <w:tcW w:w="850" w:type="dxa"/>
            <w:vAlign w:val="center"/>
          </w:tcPr>
          <w:p w14:paraId="5F38E06C">
            <w:pPr>
              <w:spacing w:line="520" w:lineRule="exact"/>
              <w:rPr>
                <w:rStyle w:val="25"/>
                <w:rFonts w:hint="eastAsia"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养护期限：15年</w:t>
            </w:r>
          </w:p>
        </w:tc>
      </w:tr>
      <w:tr w14:paraId="7D53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0065" w:type="dxa"/>
            <w:gridSpan w:val="6"/>
            <w:vAlign w:val="center"/>
          </w:tcPr>
          <w:p w14:paraId="28A8A528">
            <w:pPr>
              <w:spacing w:line="520" w:lineRule="exact"/>
              <w:rPr>
                <w:rStyle w:val="25"/>
                <w:rFonts w:hint="eastAsia" w:ascii="宋体" w:hAnsi="宋体" w:cs="宋体"/>
                <w:b/>
                <w:bCs/>
                <w:color w:val="000000" w:themeColor="text1"/>
                <w:sz w:val="28"/>
                <w:szCs w:val="28"/>
                <w14:textFill>
                  <w14:solidFill>
                    <w14:schemeClr w14:val="tx1"/>
                  </w14:solidFill>
                </w14:textFill>
              </w:rPr>
            </w:pPr>
            <w:r>
              <w:rPr>
                <w:rStyle w:val="25"/>
                <w:rFonts w:hint="eastAsia" w:ascii="宋体" w:hAnsi="宋体" w:cs="宋体"/>
                <w:b/>
                <w:bCs/>
                <w:color w:val="000000" w:themeColor="text1"/>
                <w:sz w:val="28"/>
                <w:szCs w:val="28"/>
                <w14:textFill>
                  <w14:solidFill>
                    <w14:schemeClr w14:val="tx1"/>
                  </w14:solidFill>
                </w14:textFill>
              </w:rPr>
              <w:t>备注：</w:t>
            </w:r>
          </w:p>
          <w:p w14:paraId="68D4BFED">
            <w:pPr>
              <w:spacing w:line="520" w:lineRule="exact"/>
              <w:rPr>
                <w:rStyle w:val="25"/>
                <w:rFonts w:hint="eastAsia" w:ascii="宋体" w:hAnsi="宋体" w:cs="宋体"/>
                <w:color w:val="000000" w:themeColor="text1"/>
                <w:sz w:val="24"/>
                <w14:textFill>
                  <w14:solidFill>
                    <w14:schemeClr w14:val="tx1"/>
                  </w14:solidFill>
                </w14:textFill>
              </w:rPr>
            </w:pPr>
            <w:r>
              <w:rPr>
                <w:rStyle w:val="25"/>
                <w:rFonts w:hint="eastAsia" w:ascii="宋体" w:hAnsi="宋体" w:cs="宋体"/>
                <w:b/>
                <w:bCs/>
                <w:color w:val="000000" w:themeColor="text1"/>
                <w:sz w:val="24"/>
                <w14:textFill>
                  <w14:solidFill>
                    <w14:schemeClr w14:val="tx1"/>
                  </w14:solidFill>
                </w14:textFill>
              </w:rPr>
              <w:t>一</w:t>
            </w:r>
            <w:r>
              <w:rPr>
                <w:rStyle w:val="25"/>
                <w:rFonts w:hint="eastAsia" w:ascii="宋体" w:hAnsi="宋体" w:cs="宋体"/>
                <w:color w:val="000000" w:themeColor="text1"/>
                <w:sz w:val="24"/>
                <w14:textFill>
                  <w14:solidFill>
                    <w14:schemeClr w14:val="tx1"/>
                  </w14:solidFill>
                </w14:textFill>
              </w:rPr>
              <w:t>、</w:t>
            </w:r>
            <w:r>
              <w:rPr>
                <w:rStyle w:val="25"/>
                <w:rFonts w:hint="eastAsia" w:ascii="宋体" w:hAnsi="宋体" w:cs="宋体"/>
                <w:b/>
                <w:bCs/>
                <w:color w:val="000000" w:themeColor="text1"/>
                <w:sz w:val="24"/>
                <w14:textFill>
                  <w14:solidFill>
                    <w14:schemeClr w14:val="tx1"/>
                  </w14:solidFill>
                </w14:textFill>
              </w:rPr>
              <w:t>请供应商实地考察现场，综合考虑灯杆高度、结构强度、锈蚀程度、基础稳定性及顶部承重能力（例如加装光伏板后风荷载对原来的旧灯杆及路灯基础的影响等），结合太阳能系统改造配置参数，自行考虑满足路灯整体结构安全的必要措施，一次性合理报价。</w:t>
            </w:r>
          </w:p>
          <w:p w14:paraId="44D3E37B">
            <w:pPr>
              <w:spacing w:line="520" w:lineRule="exact"/>
              <w:rPr>
                <w:rStyle w:val="25"/>
                <w:rFonts w:hint="eastAsia"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二、</w:t>
            </w:r>
            <w:r>
              <w:rPr>
                <w:rStyle w:val="25"/>
                <w:rFonts w:hint="eastAsia" w:ascii="宋体" w:hAnsi="宋体" w:cs="宋体"/>
                <w:b/>
                <w:bCs/>
                <w:color w:val="000000" w:themeColor="text1"/>
                <w:sz w:val="24"/>
                <w14:textFill>
                  <w14:solidFill>
                    <w14:schemeClr w14:val="tx1"/>
                  </w14:solidFill>
                </w14:textFill>
              </w:rPr>
              <w:t>成交供应商提供的所有节能改造产品都必须为全新的原厂正品，不接受翻新产品，一经查实，取消成交资格，并列入采购单位的采购黑名单，同时对成交供应商及负责人追究相关法律责任。</w:t>
            </w:r>
          </w:p>
          <w:p w14:paraId="0FCAAD3E">
            <w:pPr>
              <w:spacing w:line="520" w:lineRule="exact"/>
              <w:rPr>
                <w:rStyle w:val="25"/>
                <w:rFonts w:hint="eastAsia" w:ascii="宋体" w:hAnsi="宋体" w:cs="宋体"/>
                <w:b/>
                <w:bCs/>
                <w:color w:val="000000" w:themeColor="text1"/>
                <w:sz w:val="24"/>
                <w14:textFill>
                  <w14:solidFill>
                    <w14:schemeClr w14:val="tx1"/>
                  </w14:solidFill>
                </w14:textFill>
              </w:rPr>
            </w:pPr>
            <w:r>
              <w:rPr>
                <w:rStyle w:val="25"/>
                <w:rFonts w:hint="eastAsia" w:ascii="宋体" w:hAnsi="宋体" w:cs="宋体"/>
                <w:b/>
                <w:bCs/>
                <w:color w:val="000000" w:themeColor="text1"/>
                <w:sz w:val="24"/>
                <w14:textFill>
                  <w14:solidFill>
                    <w14:schemeClr w14:val="tx1"/>
                  </w14:solidFill>
                </w14:textFill>
              </w:rPr>
              <w:t>三、成交供应商提供的所有节能改造产品及包装、标签、标识都应符合国家相关规定要求，且须在采购单位指定地点和规定时间内将货物运送至指定地点完成安装并调试至最佳使用状态，运输、装卸、堆放、安装货物时需考虑货物的结构、承重等，不得因装卸、堆放、安装不当等发生货物被压变形或损坏等情况的发生，如发生货物变形或损坏，由成交供应商提供免费换货并免费运送至指定地点完成安装、调试，必须确保路灯可以正常进行使用。</w:t>
            </w:r>
          </w:p>
          <w:p w14:paraId="6D64E8E8">
            <w:pPr>
              <w:spacing w:line="520" w:lineRule="exact"/>
              <w:rPr>
                <w:rStyle w:val="25"/>
                <w:rFonts w:hint="eastAsia" w:ascii="宋体" w:hAnsi="宋体" w:cs="宋体"/>
                <w:b/>
                <w:bCs/>
                <w:color w:val="000000" w:themeColor="text1"/>
                <w:sz w:val="24"/>
                <w14:textFill>
                  <w14:solidFill>
                    <w14:schemeClr w14:val="tx1"/>
                  </w14:solidFill>
                </w14:textFill>
              </w:rPr>
            </w:pPr>
            <w:r>
              <w:rPr>
                <w:rStyle w:val="25"/>
                <w:rFonts w:hint="eastAsia" w:ascii="宋体" w:hAnsi="宋体" w:cs="宋体"/>
                <w:b/>
                <w:bCs/>
                <w:color w:val="000000" w:themeColor="text1"/>
                <w:sz w:val="24"/>
                <w14:textFill>
                  <w14:solidFill>
                    <w14:schemeClr w14:val="tx1"/>
                  </w14:solidFill>
                </w14:textFill>
              </w:rPr>
              <w:t>四、供应商报价的所有太阳能路灯产品须在报价表上明确所报太阳能路灯产品的品牌及型号，否则视为无效响应。</w:t>
            </w:r>
          </w:p>
          <w:p w14:paraId="5347EDC3">
            <w:pPr>
              <w:spacing w:line="520" w:lineRule="exact"/>
              <w:rPr>
                <w:rStyle w:val="25"/>
                <w:rFonts w:hint="eastAsia" w:ascii="宋体" w:hAnsi="宋体" w:cs="宋体"/>
                <w:b/>
                <w:bCs/>
                <w:color w:val="000000" w:themeColor="text1"/>
                <w:sz w:val="28"/>
                <w:szCs w:val="28"/>
                <w14:textFill>
                  <w14:solidFill>
                    <w14:schemeClr w14:val="tx1"/>
                  </w14:solidFill>
                </w14:textFill>
              </w:rPr>
            </w:pPr>
            <w:r>
              <w:rPr>
                <w:rStyle w:val="25"/>
                <w:rFonts w:hint="eastAsia" w:ascii="宋体" w:hAnsi="宋体" w:cs="宋体"/>
                <w:b/>
                <w:bCs/>
                <w:color w:val="000000" w:themeColor="text1"/>
                <w:sz w:val="24"/>
                <w14:textFill>
                  <w14:solidFill>
                    <w14:schemeClr w14:val="tx1"/>
                  </w14:solidFill>
                </w14:textFill>
              </w:rPr>
              <w:t>五、以上太阳能路灯的数量为暂定，实际安装数量以采购单位的实际需求为准按实结算。</w:t>
            </w:r>
          </w:p>
          <w:p w14:paraId="0459BEDB">
            <w:pPr>
              <w:spacing w:line="520" w:lineRule="exact"/>
              <w:rPr>
                <w:rStyle w:val="25"/>
                <w:rFonts w:hint="eastAsia" w:ascii="宋体" w:hAnsi="宋体" w:cs="宋体"/>
                <w:b/>
                <w:bCs/>
                <w:color w:val="000000" w:themeColor="text1"/>
                <w:sz w:val="24"/>
                <w14:textFill>
                  <w14:solidFill>
                    <w14:schemeClr w14:val="tx1"/>
                  </w14:solidFill>
                </w14:textFill>
              </w:rPr>
            </w:pPr>
            <w:r>
              <w:rPr>
                <w:rStyle w:val="25"/>
                <w:rFonts w:hint="eastAsia" w:ascii="宋体" w:hAnsi="宋体" w:cs="宋体"/>
                <w:b/>
                <w:bCs/>
                <w:color w:val="000000" w:themeColor="text1"/>
                <w:sz w:val="24"/>
                <w14:textFill>
                  <w14:solidFill>
                    <w14:schemeClr w14:val="tx1"/>
                  </w14:solidFill>
                </w14:textFill>
              </w:rPr>
              <w:t>六、①报价时须提供由国家电光源质量监督检验中心或国家电光源质量检验检测中心出具的太阳能路灯灯具（120W、60W、50W、35W）的产品检测报告复印件并加盖报价单位公章【检测报告的封面必须带有 CMA及 CNAS 标志、有电子版报告的二维码、内页附有样品照片及外形尺寸】，且报告中参数满足《启东高新区（近海镇）路灯节能改造及养护服务采购项目需求表》的基本参数，否则按无效响应处理。</w:t>
            </w:r>
          </w:p>
          <w:p w14:paraId="22E0982F">
            <w:pPr>
              <w:spacing w:line="520" w:lineRule="exact"/>
              <w:rPr>
                <w:rStyle w:val="25"/>
                <w:rFonts w:hint="eastAsia" w:ascii="宋体" w:hAnsi="宋体" w:cs="宋体"/>
                <w:color w:val="000000" w:themeColor="text1"/>
                <w14:textFill>
                  <w14:solidFill>
                    <w14:schemeClr w14:val="tx1"/>
                  </w14:solidFill>
                </w14:textFill>
              </w:rPr>
            </w:pPr>
            <w:r>
              <w:rPr>
                <w:rStyle w:val="25"/>
                <w:rFonts w:hint="eastAsia" w:ascii="宋体" w:hAnsi="宋体" w:cs="宋体"/>
                <w:b/>
                <w:bCs/>
                <w:color w:val="000000" w:themeColor="text1"/>
                <w:sz w:val="24"/>
                <w14:textFill>
                  <w14:solidFill>
                    <w14:schemeClr w14:val="tx1"/>
                  </w14:solidFill>
                </w14:textFill>
              </w:rPr>
              <w:t>②报价时须提供由国家光伏产品质量检验检测中心出具的太阳能专用锂电池（200AH、150AH、120AH、80AH）、太阳能光</w:t>
            </w:r>
            <w:r>
              <w:rPr>
                <w:rStyle w:val="25"/>
                <w:rFonts w:hint="eastAsia" w:ascii="宋体" w:hAnsi="宋体" w:cs="宋体"/>
                <w:b/>
                <w:bCs/>
                <w:color w:val="000000" w:themeColor="text1"/>
                <w:sz w:val="24"/>
                <w:highlight w:val="none"/>
                <w14:textFill>
                  <w14:solidFill>
                    <w14:schemeClr w14:val="tx1"/>
                  </w14:solidFill>
                </w14:textFill>
              </w:rPr>
              <w:t>伏板（120W、60W、50W、45W）的产品检测报告复印件并加盖报价单位公章【检测报告的封面必须带有 CMA及 CNAS 标志、有电子版报告的二维码、内页附有样品照片及外形尺寸】，且报告中参数满足《启东高新区（近海镇）路灯节能改造及养护服务采购项目需求表》的基本参数，否则按无效响应处理。</w:t>
            </w:r>
          </w:p>
          <w:p w14:paraId="0C7EF397">
            <w:pPr>
              <w:spacing w:line="520" w:lineRule="exact"/>
              <w:rPr>
                <w:rStyle w:val="25"/>
                <w:rFonts w:hint="eastAsia" w:ascii="宋体" w:hAnsi="宋体" w:cs="宋体"/>
                <w:b/>
                <w:bCs/>
                <w:color w:val="000000" w:themeColor="text1"/>
                <w:sz w:val="28"/>
                <w:szCs w:val="28"/>
                <w14:textFill>
                  <w14:solidFill>
                    <w14:schemeClr w14:val="tx1"/>
                  </w14:solidFill>
                </w14:textFill>
              </w:rPr>
            </w:pPr>
          </w:p>
        </w:tc>
      </w:tr>
    </w:tbl>
    <w:p w14:paraId="153B5387">
      <w:pPr>
        <w:spacing w:line="430" w:lineRule="exact"/>
        <w:ind w:firstLine="569" w:firstLineChars="236"/>
        <w:jc w:val="center"/>
        <w:textAlignment w:val="auto"/>
        <w:rPr>
          <w:rStyle w:val="21"/>
          <w:rFonts w:hint="eastAsia" w:ascii="宋体" w:hAnsi="宋体" w:cs="宋体"/>
          <w:b/>
          <w:bCs/>
          <w:kern w:val="0"/>
          <w:sz w:val="24"/>
          <w:szCs w:val="24"/>
        </w:rPr>
      </w:pPr>
    </w:p>
    <w:p w14:paraId="5E516A97">
      <w:pPr>
        <w:spacing w:line="430" w:lineRule="exact"/>
        <w:ind w:firstLine="482" w:firstLineChars="200"/>
        <w:jc w:val="left"/>
        <w:textAlignment w:val="auto"/>
        <w:rPr>
          <w:rStyle w:val="21"/>
          <w:rFonts w:ascii="宋体" w:hAnsi="宋体" w:cs="宋体"/>
          <w:b/>
          <w:bCs/>
          <w:kern w:val="0"/>
          <w:sz w:val="24"/>
          <w:szCs w:val="24"/>
        </w:rPr>
      </w:pPr>
    </w:p>
    <w:p w14:paraId="7BF2F7B6">
      <w:pPr>
        <w:spacing w:line="430" w:lineRule="exact"/>
        <w:ind w:firstLine="482" w:firstLineChars="200"/>
        <w:jc w:val="left"/>
        <w:textAlignment w:val="auto"/>
        <w:rPr>
          <w:rStyle w:val="21"/>
          <w:rFonts w:ascii="宋体" w:hAnsi="宋体" w:cs="宋体"/>
          <w:b/>
          <w:bCs/>
          <w:kern w:val="0"/>
          <w:sz w:val="24"/>
          <w:szCs w:val="24"/>
        </w:rPr>
      </w:pPr>
    </w:p>
    <w:p w14:paraId="6B801817">
      <w:pPr>
        <w:spacing w:line="430" w:lineRule="exact"/>
        <w:ind w:firstLine="482" w:firstLineChars="200"/>
        <w:jc w:val="left"/>
        <w:textAlignment w:val="auto"/>
        <w:rPr>
          <w:rStyle w:val="21"/>
          <w:rFonts w:ascii="宋体" w:hAnsi="宋体" w:cs="宋体"/>
          <w:b/>
          <w:bCs/>
          <w:kern w:val="0"/>
          <w:sz w:val="24"/>
          <w:szCs w:val="24"/>
        </w:rPr>
      </w:pPr>
    </w:p>
    <w:p w14:paraId="7FCF2C31">
      <w:pPr>
        <w:spacing w:line="430" w:lineRule="exact"/>
        <w:ind w:firstLine="482" w:firstLineChars="200"/>
        <w:jc w:val="left"/>
        <w:textAlignment w:val="auto"/>
        <w:rPr>
          <w:rStyle w:val="21"/>
          <w:rFonts w:hint="eastAsia" w:ascii="宋体" w:hAnsi="宋体" w:cs="宋体"/>
          <w:b/>
          <w:bCs/>
          <w:kern w:val="0"/>
          <w:sz w:val="24"/>
          <w:szCs w:val="24"/>
        </w:rPr>
      </w:pPr>
      <w:r>
        <w:rPr>
          <w:rStyle w:val="21"/>
          <w:rFonts w:hint="eastAsia" w:ascii="宋体" w:hAnsi="宋体" w:cs="宋体"/>
          <w:b/>
          <w:bCs/>
          <w:kern w:val="0"/>
          <w:sz w:val="24"/>
          <w:szCs w:val="24"/>
        </w:rPr>
        <w:t>一、采购内容：</w:t>
      </w:r>
    </w:p>
    <w:p w14:paraId="6F5AD2EA">
      <w:pPr>
        <w:spacing w:line="430" w:lineRule="exact"/>
        <w:ind w:firstLine="569" w:firstLineChars="236"/>
        <w:jc w:val="left"/>
        <w:textAlignment w:val="auto"/>
        <w:rPr>
          <w:rStyle w:val="21"/>
          <w:rFonts w:hint="eastAsia" w:ascii="宋体" w:hAnsi="宋体" w:cs="宋体"/>
          <w:b/>
          <w:bCs/>
          <w:kern w:val="0"/>
          <w:sz w:val="24"/>
          <w:szCs w:val="24"/>
        </w:rPr>
      </w:pPr>
      <w:r>
        <w:rPr>
          <w:rStyle w:val="21"/>
          <w:rFonts w:hint="eastAsia" w:ascii="宋体" w:hAnsi="宋体" w:cs="宋体"/>
          <w:b/>
          <w:bCs/>
          <w:kern w:val="0"/>
          <w:sz w:val="24"/>
          <w:szCs w:val="24"/>
        </w:rPr>
        <w:t>（一）服务内容：</w:t>
      </w:r>
      <w:r>
        <w:rPr>
          <w:rStyle w:val="21"/>
          <w:rFonts w:hint="eastAsia" w:ascii="宋体" w:hAnsi="宋体" w:cs="宋体"/>
          <w:kern w:val="0"/>
          <w:sz w:val="24"/>
          <w:szCs w:val="24"/>
        </w:rPr>
        <w:t>启东高新区（近海镇）道路路灯现状：单臂路灯2328杆、双臂路灯320杆、二火中杆灯6杆、三火中杆灯32杆、六火中杆灯1杆，共计路灯灯具3082盏。</w:t>
      </w:r>
    </w:p>
    <w:p w14:paraId="01E8C7A0">
      <w:pPr>
        <w:spacing w:line="430" w:lineRule="exact"/>
        <w:ind w:firstLine="569" w:firstLineChars="236"/>
        <w:jc w:val="left"/>
        <w:textAlignment w:val="auto"/>
        <w:rPr>
          <w:rStyle w:val="21"/>
          <w:rFonts w:hint="eastAsia" w:ascii="宋体" w:hAnsi="宋体" w:cs="宋体"/>
          <w:kern w:val="0"/>
          <w:sz w:val="24"/>
          <w:szCs w:val="24"/>
        </w:rPr>
      </w:pPr>
      <w:r>
        <w:rPr>
          <w:rStyle w:val="21"/>
          <w:rFonts w:hint="eastAsia" w:ascii="宋体" w:hAnsi="宋体" w:cs="宋体"/>
          <w:b/>
          <w:bCs/>
          <w:kern w:val="0"/>
          <w:sz w:val="24"/>
          <w:szCs w:val="24"/>
        </w:rPr>
        <w:t>（二）改造内容：</w:t>
      </w:r>
      <w:r>
        <w:rPr>
          <w:rStyle w:val="21"/>
          <w:rFonts w:hint="eastAsia" w:ascii="宋体" w:hAnsi="宋体" w:cs="宋体"/>
          <w:kern w:val="0"/>
          <w:sz w:val="24"/>
          <w:szCs w:val="24"/>
        </w:rPr>
        <w:t>拟将原有路灯改造为太阳能路灯，方案为：50W太阳能路灯替换8米路灯灯具、60W太阳能路灯替换9米路灯灯具、120W太阳能路灯替换10米路灯及12米中杆灯灯具。西振海路用35W太阳能路灯（含灯杆）整体更换为6米太阳能路灯、南海路路灯改造成太阳能、市电补能双模式。</w:t>
      </w:r>
    </w:p>
    <w:p w14:paraId="2A29BEF2">
      <w:pPr>
        <w:spacing w:line="430" w:lineRule="exact"/>
        <w:ind w:firstLine="569" w:firstLineChars="236"/>
        <w:jc w:val="left"/>
        <w:textAlignment w:val="auto"/>
        <w:rPr>
          <w:rStyle w:val="21"/>
          <w:rFonts w:hint="eastAsia" w:ascii="宋体" w:hAnsi="宋体" w:cs="宋体"/>
          <w:b/>
          <w:bCs/>
          <w:kern w:val="0"/>
          <w:sz w:val="24"/>
          <w:szCs w:val="24"/>
        </w:rPr>
      </w:pPr>
      <w:r>
        <w:rPr>
          <w:rStyle w:val="21"/>
          <w:rFonts w:hint="eastAsia" w:ascii="宋体" w:hAnsi="宋体" w:cs="宋体"/>
          <w:b/>
          <w:bCs/>
          <w:kern w:val="0"/>
          <w:sz w:val="24"/>
          <w:szCs w:val="24"/>
        </w:rPr>
        <w:t>（三）养护内容：</w:t>
      </w:r>
      <w:r>
        <w:rPr>
          <w:rStyle w:val="21"/>
          <w:rFonts w:hint="eastAsia" w:ascii="宋体" w:hAnsi="宋体" w:cs="宋体"/>
          <w:kern w:val="0"/>
          <w:sz w:val="24"/>
          <w:szCs w:val="24"/>
        </w:rPr>
        <w:t>启东高新区（近海镇）太阳能路灯，包括设施的日常巡视、保养维护、定期检测、检修、更换等。</w:t>
      </w:r>
    </w:p>
    <w:p w14:paraId="2F7B2994">
      <w:pPr>
        <w:spacing w:line="430" w:lineRule="exact"/>
        <w:ind w:firstLine="569" w:firstLineChars="236"/>
        <w:jc w:val="left"/>
        <w:textAlignment w:val="auto"/>
        <w:rPr>
          <w:rStyle w:val="21"/>
          <w:rFonts w:hint="eastAsia" w:ascii="宋体" w:hAnsi="宋体" w:cs="宋体"/>
          <w:b/>
          <w:bCs/>
          <w:kern w:val="0"/>
          <w:sz w:val="24"/>
          <w:szCs w:val="24"/>
        </w:rPr>
      </w:pPr>
      <w:r>
        <w:rPr>
          <w:rStyle w:val="21"/>
          <w:rFonts w:hint="eastAsia" w:ascii="宋体" w:hAnsi="宋体" w:cs="宋体"/>
          <w:b/>
          <w:bCs/>
          <w:kern w:val="0"/>
          <w:sz w:val="24"/>
          <w:szCs w:val="24"/>
        </w:rPr>
        <w:t>（四）路灯改造质量：</w:t>
      </w:r>
    </w:p>
    <w:p w14:paraId="13D0AAF6">
      <w:pPr>
        <w:spacing w:line="430" w:lineRule="exact"/>
        <w:ind w:firstLine="720" w:firstLineChars="300"/>
        <w:jc w:val="left"/>
        <w:textAlignment w:val="auto"/>
        <w:rPr>
          <w:rStyle w:val="21"/>
          <w:rFonts w:hint="eastAsia" w:ascii="宋体" w:hAnsi="宋体" w:cs="宋体"/>
          <w:kern w:val="0"/>
          <w:sz w:val="24"/>
          <w:szCs w:val="24"/>
        </w:rPr>
      </w:pPr>
      <w:r>
        <w:rPr>
          <w:rStyle w:val="21"/>
          <w:rFonts w:hint="eastAsia" w:ascii="宋体" w:hAnsi="宋体" w:cs="宋体"/>
          <w:kern w:val="0"/>
          <w:sz w:val="24"/>
          <w:szCs w:val="24"/>
        </w:rPr>
        <w:t>1</w:t>
      </w:r>
      <w:r>
        <w:rPr>
          <w:rStyle w:val="21"/>
          <w:rFonts w:ascii="宋体" w:hAnsi="宋体" w:cs="宋体"/>
          <w:kern w:val="0"/>
          <w:sz w:val="24"/>
          <w:szCs w:val="24"/>
        </w:rPr>
        <w:t>、现状评估与方案确认</w:t>
      </w:r>
    </w:p>
    <w:p w14:paraId="6F662929">
      <w:pPr>
        <w:spacing w:line="430" w:lineRule="exact"/>
        <w:ind w:firstLine="566" w:firstLineChars="236"/>
        <w:jc w:val="left"/>
        <w:textAlignment w:val="auto"/>
        <w:rPr>
          <w:rStyle w:val="21"/>
          <w:rFonts w:hint="eastAsia" w:ascii="宋体" w:hAnsi="宋体" w:cs="宋体"/>
          <w:kern w:val="0"/>
          <w:sz w:val="24"/>
          <w:szCs w:val="24"/>
        </w:rPr>
      </w:pPr>
      <w:r>
        <w:rPr>
          <w:rStyle w:val="21"/>
          <w:rFonts w:ascii="宋体" w:hAnsi="宋体" w:cs="宋体"/>
          <w:kern w:val="0"/>
          <w:sz w:val="24"/>
          <w:szCs w:val="24"/>
        </w:rPr>
        <w:t>（1）供应商须在中标后5日内对拟改造点位进行现场复勘，核实灯杆高度、结构强度、锈蚀程度、基础稳定性及顶部承重能力。</w:t>
      </w:r>
    </w:p>
    <w:p w14:paraId="44671155">
      <w:pPr>
        <w:spacing w:line="430" w:lineRule="exact"/>
        <w:ind w:firstLine="566" w:firstLineChars="236"/>
        <w:jc w:val="left"/>
        <w:textAlignment w:val="auto"/>
        <w:rPr>
          <w:rStyle w:val="21"/>
          <w:rFonts w:hint="eastAsia" w:ascii="宋体" w:hAnsi="宋体" w:cs="宋体"/>
          <w:kern w:val="0"/>
          <w:sz w:val="24"/>
          <w:szCs w:val="24"/>
        </w:rPr>
      </w:pPr>
      <w:r>
        <w:rPr>
          <w:rStyle w:val="21"/>
          <w:rFonts w:ascii="宋体" w:hAnsi="宋体" w:cs="宋体"/>
          <w:kern w:val="0"/>
          <w:sz w:val="24"/>
          <w:szCs w:val="24"/>
        </w:rPr>
        <w:t>（2）提交《路灯节能改造技术方案》，包括但不限于：①产品性能：太阳能组件配置表、灯具选型、结构安全验算（加装光伏板后风荷载对原来的灯杆影响）。</w:t>
      </w:r>
    </w:p>
    <w:p w14:paraId="094B0666">
      <w:pPr>
        <w:spacing w:line="430" w:lineRule="exact"/>
        <w:ind w:firstLine="566" w:firstLineChars="236"/>
        <w:jc w:val="left"/>
        <w:textAlignment w:val="auto"/>
        <w:rPr>
          <w:rStyle w:val="21"/>
          <w:rFonts w:hint="eastAsia" w:ascii="宋体" w:hAnsi="宋体" w:cs="宋体"/>
          <w:kern w:val="0"/>
          <w:sz w:val="24"/>
          <w:szCs w:val="24"/>
        </w:rPr>
      </w:pPr>
      <w:r>
        <w:rPr>
          <w:rStyle w:val="21"/>
          <w:rFonts w:ascii="宋体" w:hAnsi="宋体" w:cs="宋体"/>
          <w:kern w:val="0"/>
          <w:sz w:val="24"/>
          <w:szCs w:val="24"/>
        </w:rPr>
        <w:t>②施工技术专项方案及安全文明施工方案。</w:t>
      </w:r>
    </w:p>
    <w:p w14:paraId="362AA787">
      <w:pPr>
        <w:spacing w:line="430" w:lineRule="exact"/>
        <w:ind w:firstLine="720" w:firstLineChars="300"/>
        <w:jc w:val="left"/>
        <w:textAlignment w:val="auto"/>
        <w:rPr>
          <w:rStyle w:val="21"/>
          <w:rFonts w:hint="eastAsia" w:ascii="宋体" w:hAnsi="宋体" w:cs="宋体"/>
          <w:kern w:val="0"/>
          <w:sz w:val="24"/>
          <w:szCs w:val="24"/>
        </w:rPr>
      </w:pPr>
      <w:r>
        <w:rPr>
          <w:rStyle w:val="21"/>
          <w:rFonts w:hint="eastAsia" w:ascii="宋体" w:hAnsi="宋体" w:cs="宋体"/>
          <w:kern w:val="0"/>
          <w:sz w:val="24"/>
          <w:szCs w:val="24"/>
        </w:rPr>
        <w:t>2、</w:t>
      </w:r>
      <w:r>
        <w:rPr>
          <w:rStyle w:val="21"/>
          <w:rFonts w:ascii="宋体" w:hAnsi="宋体" w:cs="宋体"/>
          <w:kern w:val="0"/>
          <w:sz w:val="24"/>
          <w:szCs w:val="24"/>
        </w:rPr>
        <w:t>拆除工作</w:t>
      </w:r>
    </w:p>
    <w:p w14:paraId="3EE0DCC7">
      <w:pPr>
        <w:spacing w:line="430" w:lineRule="exact"/>
        <w:ind w:firstLine="566" w:firstLineChars="236"/>
        <w:jc w:val="left"/>
        <w:textAlignment w:val="auto"/>
        <w:rPr>
          <w:rStyle w:val="21"/>
          <w:rFonts w:hint="eastAsia" w:ascii="宋体" w:hAnsi="宋体" w:cs="宋体"/>
          <w:kern w:val="0"/>
          <w:sz w:val="24"/>
          <w:szCs w:val="24"/>
        </w:rPr>
      </w:pPr>
      <w:r>
        <w:rPr>
          <w:rStyle w:val="21"/>
          <w:rFonts w:ascii="宋体" w:hAnsi="宋体" w:cs="宋体"/>
          <w:kern w:val="0"/>
          <w:sz w:val="24"/>
          <w:szCs w:val="24"/>
        </w:rPr>
        <w:t>（1）安全断电后，拆除原市电灯具、镇流器、电缆、接线盒等供电附属设施。</w:t>
      </w:r>
    </w:p>
    <w:p w14:paraId="0E4E9F36">
      <w:pPr>
        <w:spacing w:line="430" w:lineRule="exact"/>
        <w:ind w:firstLine="566" w:firstLineChars="236"/>
        <w:jc w:val="left"/>
        <w:textAlignment w:val="auto"/>
        <w:rPr>
          <w:rStyle w:val="21"/>
          <w:rFonts w:hint="eastAsia" w:ascii="宋体" w:hAnsi="宋体" w:cs="宋体"/>
          <w:kern w:val="0"/>
          <w:sz w:val="24"/>
          <w:szCs w:val="24"/>
        </w:rPr>
      </w:pPr>
      <w:r>
        <w:rPr>
          <w:rStyle w:val="21"/>
          <w:rFonts w:ascii="宋体" w:hAnsi="宋体" w:cs="宋体"/>
          <w:kern w:val="0"/>
          <w:sz w:val="24"/>
          <w:szCs w:val="24"/>
        </w:rPr>
        <w:t>（2）清理灯杆顶部及内部残留线缆，确保无裸露带电体。</w:t>
      </w:r>
    </w:p>
    <w:p w14:paraId="4DEE7A76">
      <w:pPr>
        <w:spacing w:line="430" w:lineRule="exact"/>
        <w:ind w:firstLine="566" w:firstLineChars="236"/>
        <w:jc w:val="left"/>
        <w:textAlignment w:val="auto"/>
        <w:rPr>
          <w:rStyle w:val="21"/>
          <w:rFonts w:hint="eastAsia" w:ascii="宋体" w:hAnsi="宋体" w:cs="宋体"/>
          <w:kern w:val="0"/>
          <w:sz w:val="24"/>
          <w:szCs w:val="24"/>
        </w:rPr>
      </w:pPr>
      <w:r>
        <w:rPr>
          <w:rStyle w:val="21"/>
          <w:rFonts w:ascii="宋体" w:hAnsi="宋体" w:cs="宋体"/>
          <w:kern w:val="0"/>
          <w:sz w:val="24"/>
          <w:szCs w:val="24"/>
        </w:rPr>
        <w:t>（3）拆除过程中不得损伤灯杆本体及周边公共设施。</w:t>
      </w:r>
    </w:p>
    <w:p w14:paraId="695D0B2C">
      <w:pPr>
        <w:spacing w:line="430" w:lineRule="exact"/>
        <w:ind w:firstLine="720" w:firstLineChars="300"/>
        <w:jc w:val="left"/>
        <w:textAlignment w:val="auto"/>
        <w:rPr>
          <w:rStyle w:val="21"/>
          <w:rFonts w:hint="eastAsia" w:ascii="宋体" w:hAnsi="宋体" w:cs="宋体"/>
          <w:kern w:val="0"/>
          <w:sz w:val="24"/>
          <w:szCs w:val="24"/>
        </w:rPr>
      </w:pPr>
      <w:r>
        <w:rPr>
          <w:rStyle w:val="21"/>
          <w:rFonts w:hint="eastAsia" w:ascii="宋体" w:hAnsi="宋体" w:cs="宋体"/>
          <w:kern w:val="0"/>
          <w:sz w:val="24"/>
          <w:szCs w:val="24"/>
        </w:rPr>
        <w:t>3、</w:t>
      </w:r>
      <w:r>
        <w:rPr>
          <w:rStyle w:val="21"/>
          <w:rFonts w:ascii="宋体" w:hAnsi="宋体" w:cs="宋体"/>
          <w:kern w:val="0"/>
          <w:sz w:val="24"/>
          <w:szCs w:val="24"/>
        </w:rPr>
        <w:t>太阳能系统安装</w:t>
      </w:r>
    </w:p>
    <w:p w14:paraId="1A7721C5">
      <w:pPr>
        <w:spacing w:line="430" w:lineRule="exact"/>
        <w:ind w:firstLine="566" w:firstLineChars="236"/>
        <w:jc w:val="left"/>
        <w:textAlignment w:val="auto"/>
        <w:rPr>
          <w:rStyle w:val="21"/>
          <w:rFonts w:hint="eastAsia" w:ascii="宋体" w:hAnsi="宋体" w:cs="宋体"/>
          <w:kern w:val="0"/>
          <w:sz w:val="24"/>
          <w:szCs w:val="24"/>
        </w:rPr>
      </w:pPr>
      <w:r>
        <w:rPr>
          <w:rStyle w:val="21"/>
          <w:rFonts w:ascii="宋体" w:hAnsi="宋体" w:cs="宋体"/>
          <w:kern w:val="0"/>
          <w:sz w:val="24"/>
          <w:szCs w:val="24"/>
        </w:rPr>
        <w:t>（1）利用原灯杆顶部安装接口，通过专用抱箍或转接法兰固定灯具。</w:t>
      </w:r>
    </w:p>
    <w:p w14:paraId="68139AE6">
      <w:pPr>
        <w:spacing w:line="430" w:lineRule="exact"/>
        <w:ind w:firstLine="566" w:firstLineChars="236"/>
        <w:jc w:val="left"/>
        <w:textAlignment w:val="auto"/>
        <w:rPr>
          <w:rStyle w:val="21"/>
          <w:rFonts w:hint="eastAsia" w:ascii="宋体" w:hAnsi="宋体" w:cs="宋体"/>
          <w:kern w:val="0"/>
          <w:sz w:val="24"/>
          <w:szCs w:val="24"/>
        </w:rPr>
      </w:pPr>
      <w:r>
        <w:rPr>
          <w:rStyle w:val="21"/>
          <w:rFonts w:ascii="宋体" w:hAnsi="宋体" w:cs="宋体"/>
          <w:kern w:val="0"/>
          <w:sz w:val="24"/>
          <w:szCs w:val="24"/>
        </w:rPr>
        <w:t>（2）若原接口不匹配，须提供定制转接件，不得对灯杆主体进行切割或焊接。</w:t>
      </w:r>
    </w:p>
    <w:p w14:paraId="1E81E2A2">
      <w:pPr>
        <w:spacing w:line="430" w:lineRule="exact"/>
        <w:ind w:firstLine="566" w:firstLineChars="236"/>
        <w:jc w:val="left"/>
        <w:textAlignment w:val="auto"/>
        <w:rPr>
          <w:rStyle w:val="21"/>
          <w:rFonts w:hint="eastAsia" w:ascii="宋体" w:hAnsi="宋体" w:cs="宋体"/>
          <w:kern w:val="0"/>
          <w:sz w:val="24"/>
          <w:szCs w:val="24"/>
        </w:rPr>
      </w:pPr>
      <w:r>
        <w:rPr>
          <w:rStyle w:val="21"/>
          <w:rFonts w:ascii="宋体" w:hAnsi="宋体" w:cs="宋体"/>
          <w:kern w:val="0"/>
          <w:sz w:val="24"/>
          <w:szCs w:val="24"/>
        </w:rPr>
        <w:t>（3）太阳能板朝向正南，倾角宜为当地纬度±5°，确保无遮挡。</w:t>
      </w:r>
    </w:p>
    <w:p w14:paraId="11944CD8">
      <w:pPr>
        <w:spacing w:line="430" w:lineRule="exact"/>
        <w:ind w:firstLine="566" w:firstLineChars="236"/>
        <w:jc w:val="left"/>
        <w:textAlignment w:val="auto"/>
        <w:rPr>
          <w:rStyle w:val="21"/>
          <w:rFonts w:hint="eastAsia" w:ascii="宋体" w:hAnsi="宋体" w:cs="宋体"/>
          <w:kern w:val="0"/>
          <w:sz w:val="24"/>
          <w:szCs w:val="24"/>
        </w:rPr>
      </w:pPr>
      <w:r>
        <w:rPr>
          <w:rStyle w:val="21"/>
          <w:rFonts w:ascii="宋体" w:hAnsi="宋体" w:cs="宋体"/>
          <w:kern w:val="0"/>
          <w:sz w:val="24"/>
          <w:szCs w:val="24"/>
        </w:rPr>
        <w:t>（4）安装后灯具水平稳固，无晃动、倾斜，螺栓紧固力矩符合厂家要求。</w:t>
      </w:r>
    </w:p>
    <w:p w14:paraId="685592B8">
      <w:pPr>
        <w:spacing w:line="430" w:lineRule="exact"/>
        <w:ind w:firstLine="720" w:firstLineChars="300"/>
        <w:jc w:val="left"/>
        <w:textAlignment w:val="auto"/>
        <w:rPr>
          <w:rStyle w:val="21"/>
          <w:rFonts w:hint="eastAsia" w:ascii="宋体" w:hAnsi="宋体" w:cs="宋体"/>
          <w:kern w:val="0"/>
          <w:sz w:val="24"/>
          <w:szCs w:val="24"/>
        </w:rPr>
      </w:pPr>
      <w:r>
        <w:rPr>
          <w:rStyle w:val="21"/>
          <w:rFonts w:hint="eastAsia" w:ascii="宋体" w:hAnsi="宋体" w:cs="宋体"/>
          <w:kern w:val="0"/>
          <w:sz w:val="24"/>
          <w:szCs w:val="24"/>
        </w:rPr>
        <w:t>4、</w:t>
      </w:r>
      <w:r>
        <w:rPr>
          <w:rStyle w:val="21"/>
          <w:rFonts w:ascii="宋体" w:hAnsi="宋体" w:cs="宋体"/>
          <w:kern w:val="0"/>
          <w:sz w:val="24"/>
          <w:szCs w:val="24"/>
        </w:rPr>
        <w:t>电气与安全</w:t>
      </w:r>
    </w:p>
    <w:p w14:paraId="6C5411BF">
      <w:pPr>
        <w:spacing w:line="430" w:lineRule="exact"/>
        <w:ind w:firstLine="566" w:firstLineChars="236"/>
        <w:jc w:val="left"/>
        <w:textAlignment w:val="auto"/>
        <w:rPr>
          <w:rStyle w:val="21"/>
          <w:rFonts w:hint="eastAsia" w:ascii="宋体" w:hAnsi="宋体" w:cs="宋体"/>
          <w:kern w:val="0"/>
          <w:sz w:val="24"/>
          <w:szCs w:val="24"/>
        </w:rPr>
      </w:pPr>
      <w:r>
        <w:rPr>
          <w:rStyle w:val="21"/>
          <w:rFonts w:ascii="宋体" w:hAnsi="宋体" w:cs="宋体"/>
          <w:kern w:val="0"/>
          <w:sz w:val="24"/>
          <w:szCs w:val="24"/>
        </w:rPr>
        <w:t>（1）灯具内部线路全封闭，无外露接线端子。</w:t>
      </w:r>
    </w:p>
    <w:p w14:paraId="60A016B3">
      <w:pPr>
        <w:spacing w:line="430" w:lineRule="exact"/>
        <w:ind w:firstLine="566" w:firstLineChars="236"/>
        <w:jc w:val="left"/>
        <w:textAlignment w:val="auto"/>
        <w:rPr>
          <w:rStyle w:val="21"/>
          <w:rFonts w:hint="eastAsia" w:ascii="宋体" w:hAnsi="宋体" w:cs="宋体"/>
          <w:kern w:val="0"/>
          <w:sz w:val="24"/>
          <w:szCs w:val="24"/>
        </w:rPr>
      </w:pPr>
      <w:r>
        <w:rPr>
          <w:rStyle w:val="21"/>
          <w:rFonts w:ascii="宋体" w:hAnsi="宋体" w:cs="宋体"/>
          <w:kern w:val="0"/>
          <w:sz w:val="24"/>
          <w:szCs w:val="24"/>
        </w:rPr>
        <w:t>（2）具备过充、过放、短路、反接、雷击浪涌等多重保护。</w:t>
      </w:r>
    </w:p>
    <w:p w14:paraId="5A3F6ED1">
      <w:pPr>
        <w:spacing w:line="430" w:lineRule="exact"/>
        <w:ind w:firstLine="566" w:firstLineChars="236"/>
        <w:jc w:val="left"/>
        <w:textAlignment w:val="auto"/>
        <w:rPr>
          <w:rStyle w:val="21"/>
          <w:rFonts w:hint="eastAsia" w:ascii="宋体" w:hAnsi="宋体" w:cs="宋体"/>
          <w:kern w:val="0"/>
          <w:sz w:val="24"/>
          <w:szCs w:val="24"/>
        </w:rPr>
      </w:pPr>
      <w:r>
        <w:rPr>
          <w:rStyle w:val="21"/>
          <w:rFonts w:ascii="宋体" w:hAnsi="宋体" w:cs="宋体"/>
          <w:kern w:val="0"/>
          <w:sz w:val="24"/>
          <w:szCs w:val="24"/>
        </w:rPr>
        <w:t>（3）灯杆金属部分须可靠接地，接地电阻≤10Ω（若原灯杆未接地，须补做接地极）。</w:t>
      </w:r>
    </w:p>
    <w:p w14:paraId="3B663A2F">
      <w:pPr>
        <w:spacing w:line="430" w:lineRule="exact"/>
        <w:ind w:firstLine="720" w:firstLineChars="300"/>
        <w:jc w:val="left"/>
        <w:textAlignment w:val="auto"/>
        <w:rPr>
          <w:rStyle w:val="21"/>
          <w:rFonts w:hint="eastAsia" w:ascii="宋体" w:hAnsi="宋体" w:cs="宋体"/>
          <w:kern w:val="0"/>
          <w:sz w:val="24"/>
          <w:szCs w:val="24"/>
        </w:rPr>
      </w:pPr>
      <w:r>
        <w:rPr>
          <w:rStyle w:val="21"/>
          <w:rFonts w:hint="eastAsia" w:ascii="宋体" w:hAnsi="宋体" w:cs="宋体"/>
          <w:kern w:val="0"/>
          <w:sz w:val="24"/>
          <w:szCs w:val="24"/>
        </w:rPr>
        <w:t>5、</w:t>
      </w:r>
      <w:r>
        <w:rPr>
          <w:rStyle w:val="21"/>
          <w:rFonts w:ascii="宋体" w:hAnsi="宋体" w:cs="宋体"/>
          <w:kern w:val="0"/>
          <w:sz w:val="24"/>
          <w:szCs w:val="24"/>
        </w:rPr>
        <w:t>调试、检测与验收</w:t>
      </w:r>
    </w:p>
    <w:p w14:paraId="7780E38A">
      <w:pPr>
        <w:spacing w:line="430" w:lineRule="exact"/>
        <w:ind w:firstLine="566" w:firstLineChars="236"/>
        <w:jc w:val="left"/>
        <w:textAlignment w:val="auto"/>
        <w:rPr>
          <w:rStyle w:val="21"/>
          <w:rFonts w:hint="eastAsia" w:ascii="宋体" w:hAnsi="宋体" w:eastAsia="宋体" w:cs="宋体"/>
          <w:kern w:val="0"/>
          <w:sz w:val="24"/>
          <w:szCs w:val="24"/>
        </w:rPr>
      </w:pPr>
      <w:r>
        <w:rPr>
          <w:rStyle w:val="21"/>
          <w:rFonts w:hint="eastAsia" w:ascii="宋体" w:hAnsi="宋体" w:eastAsia="宋体" w:cs="宋体"/>
          <w:kern w:val="0"/>
          <w:sz w:val="24"/>
          <w:szCs w:val="24"/>
        </w:rPr>
        <w:t>（1）单灯连续72小时运行测试，记录充放电曲线、亮灯时长、调光逻辑；</w:t>
      </w:r>
    </w:p>
    <w:p w14:paraId="6F097F28">
      <w:pPr>
        <w:spacing w:line="430" w:lineRule="exact"/>
        <w:ind w:firstLine="566" w:firstLineChars="236"/>
        <w:jc w:val="left"/>
        <w:textAlignment w:val="auto"/>
        <w:rPr>
          <w:rStyle w:val="21"/>
          <w:rFonts w:hint="eastAsia" w:ascii="宋体" w:hAnsi="宋体" w:eastAsia="宋体" w:cs="宋体"/>
          <w:kern w:val="0"/>
          <w:sz w:val="24"/>
          <w:szCs w:val="24"/>
        </w:rPr>
      </w:pPr>
      <w:r>
        <w:rPr>
          <w:rStyle w:val="21"/>
          <w:rFonts w:hint="eastAsia" w:ascii="宋体" w:hAnsi="宋体" w:eastAsia="宋体" w:cs="宋体"/>
          <w:kern w:val="0"/>
          <w:sz w:val="24"/>
          <w:szCs w:val="24"/>
        </w:rPr>
        <w:t>（2）路面照度检测：平均照度、均匀度符合《城市道路照明设计标准》（CJJ 45-2015）对应道路等级要求；改造完成后，采购人委托有资质的第三方对路灯进行</w:t>
      </w:r>
      <w:r>
        <w:rPr>
          <w:rStyle w:val="21"/>
          <w:rFonts w:hint="eastAsia" w:ascii="宋体" w:hAnsi="宋体" w:cs="宋体"/>
          <w:kern w:val="0"/>
          <w:sz w:val="24"/>
          <w:szCs w:val="24"/>
          <w:lang w:val="en-US" w:eastAsia="zh-CN"/>
        </w:rPr>
        <w:t>检测</w:t>
      </w:r>
      <w:r>
        <w:rPr>
          <w:rStyle w:val="21"/>
          <w:rFonts w:hint="eastAsia" w:ascii="宋体" w:hAnsi="宋体" w:eastAsia="宋体" w:cs="宋体"/>
          <w:kern w:val="0"/>
          <w:sz w:val="24"/>
          <w:szCs w:val="24"/>
        </w:rPr>
        <w:t>，如未合格，中标人必须无条件整改并承担相应费用，整改后</w:t>
      </w:r>
      <w:r>
        <w:rPr>
          <w:rStyle w:val="21"/>
          <w:rFonts w:hint="eastAsia" w:ascii="宋体" w:hAnsi="宋体" w:cs="宋体"/>
          <w:kern w:val="0"/>
          <w:sz w:val="24"/>
          <w:szCs w:val="24"/>
          <w:lang w:val="en-US" w:eastAsia="zh-CN"/>
        </w:rPr>
        <w:t>采购人委托有资质的第三方再次进行检测，相应费用由中标人承担</w:t>
      </w:r>
      <w:r>
        <w:rPr>
          <w:rStyle w:val="21"/>
          <w:rFonts w:hint="eastAsia" w:ascii="宋体" w:hAnsi="宋体" w:eastAsia="宋体" w:cs="宋体"/>
          <w:kern w:val="0"/>
          <w:sz w:val="24"/>
          <w:szCs w:val="24"/>
        </w:rPr>
        <w:t>，</w:t>
      </w:r>
      <w:r>
        <w:rPr>
          <w:rStyle w:val="21"/>
          <w:rFonts w:hint="eastAsia" w:ascii="宋体" w:hAnsi="宋体" w:cs="宋体"/>
          <w:kern w:val="0"/>
          <w:sz w:val="24"/>
          <w:szCs w:val="24"/>
          <w:lang w:val="en-US" w:eastAsia="zh-CN"/>
        </w:rPr>
        <w:t>直至项目验收合格，中标人</w:t>
      </w:r>
      <w:r>
        <w:rPr>
          <w:rStyle w:val="21"/>
          <w:rFonts w:hint="eastAsia" w:ascii="宋体" w:hAnsi="宋体" w:eastAsia="宋体" w:cs="宋体"/>
          <w:kern w:val="0"/>
          <w:sz w:val="24"/>
          <w:szCs w:val="24"/>
        </w:rPr>
        <w:t>向采购人提交合格的报告后方可进入验收、结算。</w:t>
      </w:r>
    </w:p>
    <w:p w14:paraId="1F6F1752">
      <w:pPr>
        <w:spacing w:line="430" w:lineRule="exact"/>
        <w:ind w:firstLine="566" w:firstLineChars="236"/>
        <w:jc w:val="left"/>
        <w:textAlignment w:val="auto"/>
        <w:rPr>
          <w:rStyle w:val="21"/>
          <w:rFonts w:hint="eastAsia" w:ascii="宋体" w:hAnsi="宋体" w:eastAsia="宋体" w:cs="宋体"/>
          <w:kern w:val="0"/>
          <w:sz w:val="24"/>
          <w:szCs w:val="24"/>
        </w:rPr>
      </w:pPr>
      <w:r>
        <w:rPr>
          <w:rStyle w:val="21"/>
          <w:rFonts w:hint="eastAsia" w:ascii="宋体" w:hAnsi="宋体" w:eastAsia="宋体" w:cs="宋体"/>
          <w:kern w:val="0"/>
          <w:sz w:val="24"/>
          <w:szCs w:val="24"/>
        </w:rPr>
        <w:t>（3）提供每盏灯的《安装调试记录表》《照度检测报告》及现场照片；</w:t>
      </w:r>
    </w:p>
    <w:p w14:paraId="2231B480">
      <w:pPr>
        <w:spacing w:line="430" w:lineRule="exact"/>
        <w:ind w:firstLine="566" w:firstLineChars="236"/>
        <w:jc w:val="left"/>
        <w:textAlignment w:val="auto"/>
        <w:rPr>
          <w:rStyle w:val="21"/>
          <w:rFonts w:hint="eastAsia" w:ascii="宋体" w:hAnsi="宋体" w:eastAsia="宋体" w:cs="宋体"/>
          <w:kern w:val="0"/>
          <w:sz w:val="24"/>
          <w:szCs w:val="24"/>
        </w:rPr>
      </w:pPr>
      <w:r>
        <w:rPr>
          <w:rStyle w:val="21"/>
          <w:rFonts w:hint="eastAsia" w:ascii="宋体" w:hAnsi="宋体" w:eastAsia="宋体" w:cs="宋体"/>
          <w:kern w:val="0"/>
          <w:sz w:val="24"/>
          <w:szCs w:val="24"/>
        </w:rPr>
        <w:t>（4）竣工资料包括：设备合格证、检测报告、系统原理图。</w:t>
      </w:r>
    </w:p>
    <w:p w14:paraId="6394E95F">
      <w:pPr>
        <w:spacing w:line="430" w:lineRule="exact"/>
        <w:ind w:firstLine="566" w:firstLineChars="236"/>
        <w:jc w:val="left"/>
        <w:textAlignment w:val="auto"/>
        <w:rPr>
          <w:rStyle w:val="21"/>
          <w:rFonts w:hint="default" w:ascii="宋体" w:hAnsi="宋体" w:eastAsia="宋体" w:cs="宋体"/>
          <w:kern w:val="0"/>
          <w:sz w:val="24"/>
          <w:szCs w:val="24"/>
          <w:lang w:val="en-US" w:eastAsia="zh-CN"/>
        </w:rPr>
      </w:pPr>
      <w:r>
        <w:rPr>
          <w:rStyle w:val="21"/>
          <w:rFonts w:hint="eastAsia" w:ascii="宋体" w:hAnsi="宋体" w:eastAsia="宋体" w:cs="宋体"/>
          <w:kern w:val="0"/>
          <w:sz w:val="24"/>
          <w:szCs w:val="24"/>
          <w:lang w:eastAsia="zh-CN"/>
        </w:rPr>
        <w:t>（</w:t>
      </w:r>
      <w:r>
        <w:rPr>
          <w:rStyle w:val="21"/>
          <w:rFonts w:hint="eastAsia" w:ascii="宋体" w:hAnsi="宋体" w:eastAsia="宋体" w:cs="宋体"/>
          <w:kern w:val="0"/>
          <w:sz w:val="24"/>
          <w:szCs w:val="24"/>
          <w:lang w:val="en-US" w:eastAsia="zh-CN"/>
        </w:rPr>
        <w:t>5</w:t>
      </w:r>
      <w:r>
        <w:rPr>
          <w:rStyle w:val="21"/>
          <w:rFonts w:hint="eastAsia" w:ascii="宋体" w:hAnsi="宋体" w:eastAsia="宋体" w:cs="宋体"/>
          <w:kern w:val="0"/>
          <w:sz w:val="24"/>
          <w:szCs w:val="24"/>
          <w:lang w:eastAsia="zh-CN"/>
        </w:rPr>
        <w:t>）</w:t>
      </w:r>
      <w:r>
        <w:rPr>
          <w:rStyle w:val="21"/>
          <w:rFonts w:hint="eastAsia" w:ascii="宋体" w:hAnsi="宋体" w:eastAsia="宋体" w:cs="宋体"/>
          <w:kern w:val="0"/>
          <w:sz w:val="24"/>
          <w:szCs w:val="24"/>
          <w:lang w:val="en-US" w:eastAsia="zh-CN"/>
        </w:rPr>
        <w:t>验收时，须100%亮灯。</w:t>
      </w:r>
    </w:p>
    <w:p w14:paraId="74002641">
      <w:pPr>
        <w:spacing w:line="430" w:lineRule="exact"/>
        <w:ind w:firstLine="569" w:firstLineChars="236"/>
        <w:jc w:val="left"/>
        <w:textAlignment w:val="auto"/>
        <w:rPr>
          <w:rStyle w:val="21"/>
          <w:rFonts w:hint="eastAsia" w:ascii="宋体" w:hAnsi="宋体" w:cs="宋体"/>
          <w:b/>
          <w:bCs/>
          <w:kern w:val="0"/>
          <w:sz w:val="24"/>
          <w:szCs w:val="24"/>
        </w:rPr>
      </w:pPr>
      <w:r>
        <w:rPr>
          <w:rStyle w:val="21"/>
          <w:rFonts w:hint="eastAsia" w:ascii="宋体" w:hAnsi="宋体" w:cs="宋体"/>
          <w:b/>
          <w:bCs/>
          <w:kern w:val="0"/>
          <w:sz w:val="24"/>
          <w:szCs w:val="24"/>
        </w:rPr>
        <w:t>（五）路灯养护质量：</w:t>
      </w:r>
    </w:p>
    <w:p w14:paraId="3A1F0E29">
      <w:pPr>
        <w:spacing w:line="430" w:lineRule="exact"/>
        <w:ind w:firstLine="720" w:firstLineChars="300"/>
        <w:jc w:val="left"/>
        <w:textAlignment w:val="auto"/>
        <w:rPr>
          <w:rStyle w:val="21"/>
          <w:rFonts w:hint="eastAsia" w:ascii="宋体" w:hAnsi="宋体" w:cs="宋体"/>
          <w:kern w:val="0"/>
          <w:sz w:val="24"/>
          <w:szCs w:val="24"/>
        </w:rPr>
      </w:pPr>
      <w:r>
        <w:rPr>
          <w:rStyle w:val="21"/>
          <w:rFonts w:hint="eastAsia" w:ascii="宋体" w:hAnsi="宋体" w:cs="宋体"/>
          <w:kern w:val="0"/>
          <w:sz w:val="24"/>
          <w:szCs w:val="24"/>
        </w:rPr>
        <w:t>1、亮灯率：主干道标准为：98%、支路标准为：95%。详细数据以《养护设施》为准，考核过程中以清点不亮的灯具为考核计算方法。</w:t>
      </w:r>
    </w:p>
    <w:p w14:paraId="589BA77B">
      <w:pPr>
        <w:spacing w:line="430" w:lineRule="exact"/>
        <w:ind w:firstLine="720" w:firstLineChars="300"/>
        <w:jc w:val="left"/>
        <w:textAlignment w:val="auto"/>
        <w:rPr>
          <w:rStyle w:val="21"/>
          <w:rFonts w:hint="eastAsia" w:ascii="宋体" w:hAnsi="宋体" w:cs="宋体"/>
          <w:kern w:val="0"/>
          <w:sz w:val="24"/>
          <w:szCs w:val="24"/>
        </w:rPr>
      </w:pPr>
      <w:r>
        <w:rPr>
          <w:rStyle w:val="21"/>
          <w:rFonts w:hint="eastAsia" w:ascii="宋体" w:hAnsi="宋体" w:cs="宋体"/>
          <w:kern w:val="0"/>
          <w:sz w:val="24"/>
          <w:szCs w:val="24"/>
        </w:rPr>
        <w:t>2、设施外观及完好情况</w:t>
      </w:r>
    </w:p>
    <w:p w14:paraId="2B9D21D1">
      <w:pPr>
        <w:spacing w:line="430" w:lineRule="exact"/>
        <w:ind w:firstLine="566" w:firstLineChars="236"/>
        <w:jc w:val="left"/>
        <w:textAlignment w:val="auto"/>
        <w:rPr>
          <w:rStyle w:val="21"/>
          <w:rFonts w:hint="eastAsia" w:ascii="宋体" w:hAnsi="宋体" w:cs="宋体"/>
          <w:kern w:val="0"/>
          <w:sz w:val="24"/>
          <w:szCs w:val="24"/>
        </w:rPr>
      </w:pPr>
      <w:r>
        <w:rPr>
          <w:rStyle w:val="21"/>
          <w:rFonts w:hint="eastAsia" w:ascii="宋体" w:hAnsi="宋体" w:cs="宋体"/>
          <w:kern w:val="0"/>
          <w:sz w:val="24"/>
          <w:szCs w:val="24"/>
        </w:rPr>
        <w:t>（1）灯杆：杆身倾斜不超过杆长1%，无裂缝破损、锈蚀及油漆剥落，基础牢固，接线门板固定可靠。</w:t>
      </w:r>
    </w:p>
    <w:p w14:paraId="6EF93A0B">
      <w:pPr>
        <w:spacing w:line="430" w:lineRule="exact"/>
        <w:ind w:firstLine="566" w:firstLineChars="236"/>
        <w:jc w:val="left"/>
        <w:textAlignment w:val="auto"/>
        <w:rPr>
          <w:rStyle w:val="21"/>
          <w:rFonts w:hint="eastAsia" w:ascii="宋体" w:hAnsi="宋体" w:cs="宋体"/>
          <w:kern w:val="0"/>
          <w:sz w:val="24"/>
          <w:szCs w:val="24"/>
        </w:rPr>
      </w:pPr>
      <w:r>
        <w:rPr>
          <w:rStyle w:val="21"/>
          <w:rFonts w:hint="eastAsia" w:ascii="宋体" w:hAnsi="宋体" w:cs="宋体"/>
          <w:kern w:val="0"/>
          <w:sz w:val="24"/>
          <w:szCs w:val="24"/>
        </w:rPr>
        <w:t>（2）照明器具：灯具灯架清洁完好，无蛛网、无积污、断裂等问题；引线绝缘良好无接头，灯罩无破损裂纹。</w:t>
      </w:r>
    </w:p>
    <w:p w14:paraId="55ADE556">
      <w:pPr>
        <w:spacing w:line="430" w:lineRule="exact"/>
        <w:ind w:firstLine="720" w:firstLineChars="300"/>
        <w:jc w:val="left"/>
        <w:textAlignment w:val="auto"/>
        <w:rPr>
          <w:rStyle w:val="21"/>
          <w:rFonts w:hint="eastAsia" w:ascii="宋体" w:hAnsi="宋体" w:cs="宋体"/>
          <w:kern w:val="0"/>
          <w:sz w:val="24"/>
          <w:szCs w:val="24"/>
        </w:rPr>
      </w:pPr>
      <w:r>
        <w:rPr>
          <w:rStyle w:val="21"/>
          <w:rFonts w:hint="eastAsia" w:ascii="宋体" w:hAnsi="宋体" w:cs="宋体"/>
          <w:kern w:val="0"/>
          <w:sz w:val="24"/>
          <w:szCs w:val="24"/>
        </w:rPr>
        <w:t>3、及时性要求</w:t>
      </w:r>
    </w:p>
    <w:p w14:paraId="581A5241">
      <w:pPr>
        <w:spacing w:line="430" w:lineRule="exact"/>
        <w:ind w:firstLine="566" w:firstLineChars="236"/>
        <w:jc w:val="left"/>
        <w:textAlignment w:val="auto"/>
        <w:rPr>
          <w:rStyle w:val="21"/>
          <w:rFonts w:hint="eastAsia" w:ascii="宋体" w:hAnsi="宋体" w:cs="宋体"/>
          <w:kern w:val="0"/>
          <w:sz w:val="24"/>
          <w:szCs w:val="24"/>
        </w:rPr>
      </w:pPr>
      <w:r>
        <w:rPr>
          <w:rStyle w:val="21"/>
          <w:rFonts w:hint="eastAsia" w:ascii="宋体" w:hAnsi="宋体" w:cs="宋体"/>
          <w:kern w:val="0"/>
          <w:sz w:val="24"/>
          <w:szCs w:val="24"/>
        </w:rPr>
        <w:t>（1）发现或接到路灯不亮的投诉，应在2小时内完成修复，如遇恶劣天气等特殊原因，最迟应在24小时内修复。</w:t>
      </w:r>
    </w:p>
    <w:p w14:paraId="390C5F8C">
      <w:pPr>
        <w:spacing w:line="430" w:lineRule="exact"/>
        <w:ind w:firstLine="566" w:firstLineChars="236"/>
        <w:jc w:val="left"/>
        <w:textAlignment w:val="auto"/>
        <w:rPr>
          <w:rStyle w:val="21"/>
          <w:rFonts w:hint="eastAsia" w:ascii="宋体" w:hAnsi="宋体" w:cs="宋体"/>
          <w:kern w:val="0"/>
          <w:sz w:val="24"/>
          <w:szCs w:val="24"/>
        </w:rPr>
      </w:pPr>
      <w:r>
        <w:rPr>
          <w:rStyle w:val="21"/>
          <w:rFonts w:hint="eastAsia" w:ascii="宋体" w:hAnsi="宋体" w:cs="宋体"/>
          <w:kern w:val="0"/>
          <w:sz w:val="24"/>
          <w:szCs w:val="24"/>
        </w:rPr>
        <w:t>（2）发现或接到故障造成大面积灭灯的投诉，必须立即派人进行抢修，小故障2小时内修复，大故障在24小时内修复（工程量较大的除外）。</w:t>
      </w:r>
    </w:p>
    <w:p w14:paraId="5924534D">
      <w:pPr>
        <w:spacing w:line="430" w:lineRule="exact"/>
        <w:ind w:firstLine="566" w:firstLineChars="236"/>
        <w:jc w:val="left"/>
        <w:textAlignment w:val="auto"/>
        <w:rPr>
          <w:rStyle w:val="21"/>
          <w:rFonts w:hint="eastAsia" w:ascii="宋体" w:hAnsi="宋体" w:cs="宋体"/>
          <w:kern w:val="0"/>
          <w:sz w:val="24"/>
          <w:szCs w:val="24"/>
        </w:rPr>
      </w:pPr>
      <w:r>
        <w:rPr>
          <w:rStyle w:val="21"/>
          <w:rFonts w:hint="eastAsia" w:ascii="宋体" w:hAnsi="宋体" w:cs="宋体"/>
          <w:kern w:val="0"/>
          <w:sz w:val="24"/>
          <w:szCs w:val="24"/>
        </w:rPr>
        <w:t>（3）投诉及故障处理结束后应在24小时内将处理情况报采购人，同时回复反映人。</w:t>
      </w:r>
    </w:p>
    <w:p w14:paraId="519C9718">
      <w:pPr>
        <w:spacing w:line="430" w:lineRule="exact"/>
        <w:ind w:firstLine="720" w:firstLineChars="300"/>
        <w:jc w:val="left"/>
        <w:textAlignment w:val="auto"/>
        <w:rPr>
          <w:rStyle w:val="21"/>
          <w:rFonts w:hint="eastAsia" w:ascii="宋体" w:hAnsi="宋体" w:cs="宋体"/>
          <w:kern w:val="0"/>
          <w:sz w:val="24"/>
          <w:szCs w:val="24"/>
        </w:rPr>
      </w:pPr>
      <w:r>
        <w:rPr>
          <w:rStyle w:val="21"/>
          <w:rFonts w:hint="eastAsia" w:ascii="宋体" w:hAnsi="宋体" w:cs="宋体"/>
          <w:kern w:val="0"/>
          <w:sz w:val="24"/>
          <w:szCs w:val="24"/>
        </w:rPr>
        <w:t>4、设施整洁要求</w:t>
      </w:r>
    </w:p>
    <w:p w14:paraId="15550F3A">
      <w:pPr>
        <w:spacing w:line="430" w:lineRule="exact"/>
        <w:ind w:firstLine="566" w:firstLineChars="236"/>
        <w:jc w:val="left"/>
        <w:textAlignment w:val="auto"/>
        <w:rPr>
          <w:rStyle w:val="21"/>
          <w:rFonts w:hint="eastAsia" w:ascii="宋体" w:hAnsi="宋体" w:cs="宋体"/>
          <w:kern w:val="0"/>
          <w:sz w:val="24"/>
          <w:szCs w:val="24"/>
        </w:rPr>
      </w:pPr>
      <w:r>
        <w:rPr>
          <w:rStyle w:val="21"/>
          <w:rFonts w:hint="eastAsia" w:ascii="宋体" w:hAnsi="宋体" w:cs="宋体"/>
          <w:kern w:val="0"/>
          <w:sz w:val="24"/>
          <w:szCs w:val="24"/>
        </w:rPr>
        <w:t>（1）保持路灯设施外观整洁，及时维修遮挡、掉落、缺色等故障灯具。</w:t>
      </w:r>
    </w:p>
    <w:p w14:paraId="67FE46F9">
      <w:pPr>
        <w:spacing w:line="430" w:lineRule="exact"/>
        <w:ind w:firstLine="566" w:firstLineChars="236"/>
        <w:jc w:val="left"/>
        <w:textAlignment w:val="auto"/>
        <w:rPr>
          <w:rStyle w:val="21"/>
          <w:rFonts w:hint="eastAsia" w:ascii="宋体" w:hAnsi="宋体" w:cs="宋体"/>
          <w:kern w:val="0"/>
          <w:sz w:val="24"/>
          <w:szCs w:val="24"/>
        </w:rPr>
      </w:pPr>
      <w:r>
        <w:rPr>
          <w:rStyle w:val="21"/>
          <w:rFonts w:hint="eastAsia" w:ascii="宋体" w:hAnsi="宋体" w:cs="宋体"/>
          <w:kern w:val="0"/>
          <w:sz w:val="24"/>
          <w:szCs w:val="24"/>
        </w:rPr>
        <w:t>（2）严禁在公共照明设施上无未经批准设置户外广告或悬挂物品，发现后及时上报。</w:t>
      </w:r>
    </w:p>
    <w:p w14:paraId="595217CB">
      <w:pPr>
        <w:spacing w:line="430" w:lineRule="exact"/>
        <w:ind w:firstLine="566" w:firstLineChars="236"/>
        <w:jc w:val="left"/>
        <w:textAlignment w:val="auto"/>
        <w:rPr>
          <w:rStyle w:val="21"/>
          <w:rFonts w:hint="eastAsia" w:ascii="宋体" w:hAnsi="宋体" w:cs="宋体"/>
          <w:kern w:val="0"/>
          <w:sz w:val="24"/>
          <w:szCs w:val="24"/>
        </w:rPr>
      </w:pPr>
      <w:r>
        <w:rPr>
          <w:rStyle w:val="21"/>
          <w:rFonts w:hint="eastAsia" w:ascii="宋体" w:hAnsi="宋体" w:cs="宋体"/>
          <w:kern w:val="0"/>
          <w:sz w:val="24"/>
          <w:szCs w:val="24"/>
        </w:rPr>
        <w:t>（3）组织清除设施上的乱粘贴、乱涂写。</w:t>
      </w:r>
    </w:p>
    <w:p w14:paraId="444E5039">
      <w:pPr>
        <w:spacing w:line="430" w:lineRule="exact"/>
        <w:ind w:firstLine="569" w:firstLineChars="236"/>
        <w:jc w:val="left"/>
        <w:textAlignment w:val="auto"/>
        <w:rPr>
          <w:rStyle w:val="21"/>
          <w:rFonts w:hint="eastAsia" w:ascii="宋体" w:hAnsi="宋体" w:cs="宋体"/>
          <w:b/>
          <w:bCs/>
          <w:kern w:val="0"/>
          <w:sz w:val="24"/>
          <w:szCs w:val="24"/>
        </w:rPr>
      </w:pPr>
      <w:r>
        <w:rPr>
          <w:rStyle w:val="21"/>
          <w:rFonts w:hint="eastAsia" w:ascii="宋体" w:hAnsi="宋体" w:cs="宋体"/>
          <w:b/>
          <w:bCs/>
          <w:kern w:val="0"/>
          <w:sz w:val="24"/>
          <w:szCs w:val="24"/>
        </w:rPr>
        <w:t>（六）养护要求：</w:t>
      </w:r>
    </w:p>
    <w:p w14:paraId="5AA1C458">
      <w:pPr>
        <w:spacing w:line="430" w:lineRule="exact"/>
        <w:ind w:firstLine="566" w:firstLineChars="236"/>
        <w:jc w:val="left"/>
        <w:textAlignment w:val="auto"/>
        <w:rPr>
          <w:rStyle w:val="21"/>
          <w:rFonts w:hint="eastAsia" w:ascii="宋体" w:hAnsi="宋体" w:cs="宋体"/>
          <w:kern w:val="0"/>
          <w:sz w:val="24"/>
          <w:szCs w:val="24"/>
        </w:rPr>
      </w:pPr>
      <w:r>
        <w:rPr>
          <w:rStyle w:val="21"/>
          <w:rFonts w:hint="eastAsia" w:ascii="宋体" w:hAnsi="宋体" w:cs="宋体"/>
          <w:kern w:val="0"/>
          <w:sz w:val="24"/>
          <w:szCs w:val="24"/>
        </w:rPr>
        <w:t>（1）成立以养护单位主要领导为第一责任人的组织机构，分工明确，职责落实。</w:t>
      </w:r>
    </w:p>
    <w:p w14:paraId="5338BDE0">
      <w:pPr>
        <w:spacing w:line="430" w:lineRule="exact"/>
        <w:ind w:firstLine="566" w:firstLineChars="236"/>
        <w:jc w:val="left"/>
        <w:textAlignment w:val="auto"/>
        <w:rPr>
          <w:rStyle w:val="21"/>
          <w:rFonts w:hint="eastAsia" w:ascii="宋体" w:hAnsi="宋体" w:cs="宋体"/>
          <w:kern w:val="0"/>
          <w:sz w:val="24"/>
          <w:szCs w:val="24"/>
        </w:rPr>
      </w:pPr>
      <w:r>
        <w:rPr>
          <w:rStyle w:val="21"/>
          <w:rFonts w:hint="eastAsia" w:ascii="宋体" w:hAnsi="宋体" w:cs="宋体"/>
          <w:kern w:val="0"/>
          <w:sz w:val="24"/>
          <w:szCs w:val="24"/>
        </w:rPr>
        <w:t>（2）结合路灯设施现状，制定巡查、检查、维修保养工作计划，报采购人后按计划实施。</w:t>
      </w:r>
    </w:p>
    <w:p w14:paraId="05A429B0">
      <w:pPr>
        <w:spacing w:line="430" w:lineRule="exact"/>
        <w:ind w:firstLine="566" w:firstLineChars="236"/>
        <w:jc w:val="left"/>
        <w:textAlignment w:val="auto"/>
        <w:rPr>
          <w:rStyle w:val="21"/>
          <w:rFonts w:hint="eastAsia" w:ascii="宋体" w:hAnsi="宋体" w:cs="宋体"/>
          <w:kern w:val="0"/>
          <w:sz w:val="24"/>
          <w:szCs w:val="24"/>
        </w:rPr>
      </w:pPr>
      <w:r>
        <w:rPr>
          <w:rStyle w:val="21"/>
          <w:rFonts w:hint="eastAsia" w:ascii="宋体" w:hAnsi="宋体" w:cs="宋体"/>
          <w:kern w:val="0"/>
          <w:sz w:val="24"/>
          <w:szCs w:val="24"/>
        </w:rPr>
        <w:t>（3）按巡逻计划开展工作，发现问题及时处置，重大情况迅速上报。</w:t>
      </w:r>
    </w:p>
    <w:p w14:paraId="3E3BB952">
      <w:pPr>
        <w:spacing w:line="430" w:lineRule="exact"/>
        <w:ind w:firstLine="566" w:firstLineChars="236"/>
        <w:jc w:val="left"/>
        <w:textAlignment w:val="auto"/>
        <w:rPr>
          <w:rStyle w:val="21"/>
          <w:rFonts w:hint="eastAsia" w:cs="仿宋" w:asciiTheme="minorEastAsia" w:hAnsiTheme="minorEastAsia" w:eastAsiaTheme="minorEastAsia"/>
          <w:kern w:val="0"/>
          <w:sz w:val="24"/>
          <w:szCs w:val="24"/>
        </w:rPr>
      </w:pPr>
      <w:r>
        <w:rPr>
          <w:rStyle w:val="21"/>
          <w:rFonts w:hint="eastAsia" w:cs="仿宋" w:asciiTheme="minorEastAsia" w:hAnsiTheme="minorEastAsia" w:eastAsiaTheme="minorEastAsia"/>
          <w:kern w:val="0"/>
          <w:sz w:val="24"/>
          <w:szCs w:val="24"/>
        </w:rPr>
        <w:t>（4）24小时受理报修投诉，交通道口或主干道成片熄灯24小时内恢复，一般地段零星熄灯3日内修复，紧急抢修1小时内到场。</w:t>
      </w:r>
    </w:p>
    <w:p w14:paraId="0C258DBA">
      <w:pPr>
        <w:spacing w:line="430" w:lineRule="exact"/>
        <w:ind w:firstLine="566" w:firstLineChars="236"/>
        <w:jc w:val="left"/>
        <w:textAlignment w:val="auto"/>
        <w:rPr>
          <w:rStyle w:val="21"/>
          <w:rFonts w:hint="eastAsia" w:cs="仿宋" w:asciiTheme="minorEastAsia" w:hAnsiTheme="minorEastAsia" w:eastAsiaTheme="minorEastAsia"/>
          <w:kern w:val="0"/>
          <w:sz w:val="24"/>
          <w:szCs w:val="24"/>
        </w:rPr>
      </w:pPr>
      <w:r>
        <w:rPr>
          <w:rStyle w:val="21"/>
          <w:rFonts w:hint="eastAsia" w:cs="仿宋" w:asciiTheme="minorEastAsia" w:hAnsiTheme="minorEastAsia" w:eastAsiaTheme="minorEastAsia"/>
          <w:kern w:val="0"/>
          <w:sz w:val="24"/>
          <w:szCs w:val="24"/>
        </w:rPr>
        <w:t>（5）严禁擅自允许非路灯灯具接入路灯用电系统，发现违章接入及时处置并上报。</w:t>
      </w:r>
    </w:p>
    <w:p w14:paraId="6CD90A02">
      <w:pPr>
        <w:spacing w:line="430" w:lineRule="exact"/>
        <w:ind w:firstLine="566" w:firstLineChars="236"/>
        <w:jc w:val="left"/>
        <w:textAlignment w:val="auto"/>
        <w:rPr>
          <w:rStyle w:val="21"/>
          <w:rFonts w:hint="eastAsia" w:cs="仿宋" w:asciiTheme="minorEastAsia" w:hAnsiTheme="minorEastAsia" w:eastAsiaTheme="minorEastAsia"/>
          <w:kern w:val="0"/>
          <w:sz w:val="24"/>
          <w:szCs w:val="24"/>
        </w:rPr>
      </w:pPr>
      <w:r>
        <w:rPr>
          <w:rStyle w:val="21"/>
          <w:rFonts w:hint="eastAsia" w:cs="仿宋" w:asciiTheme="minorEastAsia" w:hAnsiTheme="minorEastAsia" w:eastAsiaTheme="minorEastAsia"/>
          <w:kern w:val="0"/>
          <w:sz w:val="24"/>
          <w:szCs w:val="24"/>
        </w:rPr>
        <w:t>（6）养护作业避开交通高峰期，紧急抢修影响交通的需提前联系公安交通部门。</w:t>
      </w:r>
    </w:p>
    <w:p w14:paraId="2B7F16A5">
      <w:pPr>
        <w:spacing w:line="430" w:lineRule="exact"/>
        <w:ind w:firstLine="566" w:firstLineChars="236"/>
        <w:jc w:val="left"/>
        <w:textAlignment w:val="auto"/>
        <w:rPr>
          <w:rStyle w:val="21"/>
          <w:rFonts w:hint="eastAsia" w:cs="仿宋" w:asciiTheme="minorEastAsia" w:hAnsiTheme="minorEastAsia" w:eastAsiaTheme="minorEastAsia"/>
          <w:kern w:val="0"/>
          <w:sz w:val="24"/>
          <w:szCs w:val="24"/>
        </w:rPr>
      </w:pPr>
      <w:r>
        <w:rPr>
          <w:rStyle w:val="21"/>
          <w:rFonts w:hint="eastAsia" w:cs="仿宋" w:asciiTheme="minorEastAsia" w:hAnsiTheme="minorEastAsia" w:eastAsiaTheme="minorEastAsia"/>
          <w:kern w:val="0"/>
          <w:sz w:val="24"/>
          <w:szCs w:val="24"/>
        </w:rPr>
        <w:t>（7）养护作业设置标准警示标志及灯具，文明施工、工完料清，严守安全生产规范。</w:t>
      </w:r>
    </w:p>
    <w:p w14:paraId="7722D8E0">
      <w:pPr>
        <w:spacing w:line="430" w:lineRule="exact"/>
        <w:ind w:firstLine="566" w:firstLineChars="236"/>
        <w:jc w:val="left"/>
        <w:textAlignment w:val="auto"/>
        <w:rPr>
          <w:rStyle w:val="21"/>
          <w:rFonts w:hint="eastAsia" w:cs="仿宋" w:asciiTheme="minorEastAsia" w:hAnsiTheme="minorEastAsia" w:eastAsiaTheme="minorEastAsia"/>
          <w:kern w:val="0"/>
          <w:sz w:val="24"/>
          <w:szCs w:val="24"/>
        </w:rPr>
      </w:pPr>
      <w:r>
        <w:rPr>
          <w:rStyle w:val="21"/>
          <w:rFonts w:hint="eastAsia" w:cs="仿宋" w:asciiTheme="minorEastAsia" w:hAnsiTheme="minorEastAsia" w:eastAsiaTheme="minorEastAsia"/>
          <w:kern w:val="0"/>
          <w:sz w:val="24"/>
          <w:szCs w:val="24"/>
        </w:rPr>
        <w:t>（8）更换材料、元器件需符合国家及出厂标准，因使用不当造成损坏的，由养护单位承担损失。</w:t>
      </w:r>
    </w:p>
    <w:p w14:paraId="09497A95">
      <w:pPr>
        <w:spacing w:line="430" w:lineRule="exact"/>
        <w:ind w:firstLine="566" w:firstLineChars="236"/>
        <w:jc w:val="left"/>
        <w:textAlignment w:val="auto"/>
        <w:rPr>
          <w:rStyle w:val="21"/>
          <w:rFonts w:hint="eastAsia" w:cs="仿宋" w:asciiTheme="minorEastAsia" w:hAnsiTheme="minorEastAsia" w:eastAsiaTheme="minorEastAsia"/>
          <w:kern w:val="0"/>
          <w:sz w:val="24"/>
          <w:szCs w:val="24"/>
        </w:rPr>
      </w:pPr>
      <w:r>
        <w:rPr>
          <w:rStyle w:val="21"/>
          <w:rFonts w:hint="eastAsia" w:cs="仿宋" w:asciiTheme="minorEastAsia" w:hAnsiTheme="minorEastAsia" w:eastAsiaTheme="minorEastAsia"/>
          <w:kern w:val="0"/>
          <w:sz w:val="24"/>
          <w:szCs w:val="24"/>
        </w:rPr>
        <w:t>（9）发现擅自占用、损坏路灯设施的行为，需阻止、留证并立即上报，负责向肇事方索赔及设施恢复。</w:t>
      </w:r>
    </w:p>
    <w:p w14:paraId="238C1320">
      <w:pPr>
        <w:spacing w:line="430" w:lineRule="exact"/>
        <w:ind w:firstLine="566" w:firstLineChars="236"/>
        <w:jc w:val="left"/>
        <w:textAlignment w:val="auto"/>
        <w:rPr>
          <w:rStyle w:val="21"/>
          <w:rFonts w:hint="eastAsia" w:cs="仿宋" w:asciiTheme="minorEastAsia" w:hAnsiTheme="minorEastAsia" w:eastAsiaTheme="minorEastAsia"/>
          <w:kern w:val="0"/>
          <w:sz w:val="24"/>
          <w:szCs w:val="24"/>
        </w:rPr>
      </w:pPr>
      <w:r>
        <w:rPr>
          <w:rStyle w:val="21"/>
          <w:rFonts w:hint="eastAsia" w:cs="仿宋" w:asciiTheme="minorEastAsia" w:hAnsiTheme="minorEastAsia" w:eastAsiaTheme="minorEastAsia"/>
          <w:kern w:val="0"/>
          <w:sz w:val="24"/>
          <w:szCs w:val="24"/>
        </w:rPr>
        <w:t>（10）配合重大活动及突发事件处置，全力保障灯具正常运行。</w:t>
      </w:r>
    </w:p>
    <w:p w14:paraId="1520089C">
      <w:pPr>
        <w:spacing w:line="430" w:lineRule="exact"/>
        <w:ind w:firstLine="566" w:firstLineChars="236"/>
        <w:jc w:val="left"/>
        <w:textAlignment w:val="auto"/>
        <w:rPr>
          <w:rStyle w:val="21"/>
          <w:rFonts w:hint="eastAsia" w:cs="仿宋" w:asciiTheme="minorEastAsia" w:hAnsiTheme="minorEastAsia" w:eastAsiaTheme="minorEastAsia"/>
          <w:kern w:val="0"/>
          <w:sz w:val="24"/>
          <w:szCs w:val="24"/>
        </w:rPr>
      </w:pPr>
      <w:r>
        <w:rPr>
          <w:rStyle w:val="21"/>
          <w:rFonts w:hint="eastAsia" w:cs="仿宋" w:asciiTheme="minorEastAsia" w:hAnsiTheme="minorEastAsia" w:eastAsiaTheme="minorEastAsia"/>
          <w:kern w:val="0"/>
          <w:sz w:val="24"/>
          <w:szCs w:val="24"/>
        </w:rPr>
        <w:t>（11）建立完整养护台账，详细记录巡逻、报修、修理等情况，尤其是媒体批评、市民投诉等事件，需明确办理结果、责任人及反馈意见，由养护负责人签字确认；每月 5日前提交上月电子台账，每季度提交纸质版台账，附巡检影像资料（含定位信息）。</w:t>
      </w:r>
    </w:p>
    <w:p w14:paraId="67C62CD9">
      <w:pPr>
        <w:spacing w:line="430" w:lineRule="exact"/>
        <w:ind w:firstLine="569" w:firstLineChars="236"/>
        <w:jc w:val="left"/>
        <w:textAlignment w:val="auto"/>
        <w:rPr>
          <w:rStyle w:val="21"/>
          <w:rFonts w:hint="eastAsia" w:ascii="宋体" w:hAnsi="宋体" w:cs="宋体"/>
          <w:b/>
          <w:bCs/>
          <w:kern w:val="0"/>
          <w:sz w:val="24"/>
          <w:szCs w:val="24"/>
        </w:rPr>
      </w:pPr>
      <w:r>
        <w:rPr>
          <w:rStyle w:val="21"/>
          <w:rFonts w:hint="eastAsia" w:ascii="宋体" w:hAnsi="宋体" w:cs="宋体"/>
          <w:b/>
          <w:bCs/>
          <w:kern w:val="0"/>
          <w:sz w:val="24"/>
          <w:szCs w:val="24"/>
        </w:rPr>
        <w:t>（七）养护单位内部管理要求：</w:t>
      </w:r>
    </w:p>
    <w:p w14:paraId="44BF9AF8">
      <w:pPr>
        <w:spacing w:line="430" w:lineRule="exact"/>
        <w:ind w:firstLine="566" w:firstLineChars="236"/>
        <w:jc w:val="left"/>
        <w:textAlignment w:val="auto"/>
        <w:rPr>
          <w:rStyle w:val="21"/>
          <w:rFonts w:hint="eastAsia" w:cs="仿宋" w:asciiTheme="minorEastAsia" w:hAnsiTheme="minorEastAsia" w:eastAsiaTheme="minorEastAsia"/>
          <w:kern w:val="0"/>
          <w:sz w:val="24"/>
          <w:szCs w:val="24"/>
          <w:lang w:val="en-US" w:eastAsia="zh-CN"/>
        </w:rPr>
      </w:pPr>
      <w:r>
        <w:rPr>
          <w:rStyle w:val="21"/>
          <w:rFonts w:hint="eastAsia" w:cs="仿宋" w:asciiTheme="minorEastAsia" w:hAnsiTheme="minorEastAsia" w:eastAsiaTheme="minorEastAsia"/>
          <w:kern w:val="0"/>
          <w:sz w:val="24"/>
          <w:szCs w:val="24"/>
          <w:lang w:val="en-US" w:eastAsia="zh-CN"/>
        </w:rPr>
        <w:t>（1）应配备用于路灯维修养护工程的施工机械设备，如路灯升降车、抢修车、维修巡检车辆及相应的电工工具等。</w:t>
      </w:r>
    </w:p>
    <w:p w14:paraId="25BB25C8">
      <w:pPr>
        <w:spacing w:line="430" w:lineRule="exact"/>
        <w:ind w:firstLine="566" w:firstLineChars="236"/>
        <w:jc w:val="left"/>
        <w:textAlignment w:val="auto"/>
        <w:rPr>
          <w:rStyle w:val="21"/>
          <w:rFonts w:hint="eastAsia" w:cs="仿宋" w:asciiTheme="minorEastAsia" w:hAnsiTheme="minorEastAsia" w:eastAsiaTheme="minorEastAsia"/>
          <w:kern w:val="0"/>
          <w:sz w:val="24"/>
          <w:szCs w:val="24"/>
          <w:lang w:val="en-US" w:eastAsia="zh-CN"/>
        </w:rPr>
      </w:pPr>
      <w:r>
        <w:rPr>
          <w:rStyle w:val="21"/>
          <w:rFonts w:hint="eastAsia" w:cs="仿宋" w:asciiTheme="minorEastAsia" w:hAnsiTheme="minorEastAsia" w:eastAsiaTheme="minorEastAsia"/>
          <w:kern w:val="0"/>
          <w:sz w:val="24"/>
          <w:szCs w:val="24"/>
          <w:lang w:val="en-US" w:eastAsia="zh-CN"/>
        </w:rPr>
        <w:t>（2）应制定严格的值班工作制度。每天设专人接待报修及投诉，接待投诉时必须热情、诚恳、语气谦和，并做好详细记录，值班电话必须24小时开通。</w:t>
      </w:r>
    </w:p>
    <w:p w14:paraId="0BFDC434">
      <w:pPr>
        <w:spacing w:line="430" w:lineRule="exact"/>
        <w:ind w:firstLine="566" w:firstLineChars="236"/>
        <w:jc w:val="left"/>
        <w:textAlignment w:val="auto"/>
        <w:rPr>
          <w:rStyle w:val="21"/>
          <w:rFonts w:hint="eastAsia" w:cs="仿宋" w:asciiTheme="minorEastAsia" w:hAnsiTheme="minorEastAsia" w:eastAsiaTheme="minorEastAsia"/>
          <w:kern w:val="0"/>
          <w:sz w:val="24"/>
          <w:szCs w:val="24"/>
          <w:lang w:val="en-US" w:eastAsia="zh-CN"/>
        </w:rPr>
      </w:pPr>
      <w:r>
        <w:rPr>
          <w:rStyle w:val="21"/>
          <w:rFonts w:hint="eastAsia" w:cs="仿宋" w:asciiTheme="minorEastAsia" w:hAnsiTheme="minorEastAsia" w:eastAsiaTheme="minorEastAsia"/>
          <w:kern w:val="0"/>
          <w:sz w:val="24"/>
          <w:szCs w:val="24"/>
          <w:lang w:val="en-US" w:eastAsia="zh-CN"/>
        </w:rPr>
        <w:t>（3）应建立日常巡修制度。编制月度维护作业计划并报发包人备案。工作人员应按制定的计划认真巡修，并做好巡修记录。</w:t>
      </w:r>
    </w:p>
    <w:p w14:paraId="6E3181DF">
      <w:pPr>
        <w:spacing w:line="430" w:lineRule="exact"/>
        <w:ind w:firstLine="566" w:firstLineChars="236"/>
        <w:jc w:val="left"/>
        <w:textAlignment w:val="auto"/>
        <w:rPr>
          <w:rStyle w:val="21"/>
          <w:rFonts w:hint="eastAsia" w:cs="仿宋" w:asciiTheme="minorEastAsia" w:hAnsiTheme="minorEastAsia" w:eastAsiaTheme="minorEastAsia"/>
          <w:kern w:val="0"/>
          <w:sz w:val="24"/>
          <w:szCs w:val="24"/>
          <w:lang w:val="en-US" w:eastAsia="zh-CN"/>
        </w:rPr>
      </w:pPr>
      <w:r>
        <w:rPr>
          <w:rStyle w:val="21"/>
          <w:rFonts w:hint="eastAsia" w:cs="仿宋" w:asciiTheme="minorEastAsia" w:hAnsiTheme="minorEastAsia" w:eastAsiaTheme="minorEastAsia"/>
          <w:kern w:val="0"/>
          <w:sz w:val="24"/>
          <w:szCs w:val="24"/>
          <w:lang w:val="en-US" w:eastAsia="zh-CN"/>
        </w:rPr>
        <w:t xml:space="preserve">（4）应建立齐全规范的人员岗位管理、技术培训制度。工作人员必须统一着装、持证上岗，并熟悉路灯配电设备、所管辖区域内路灯控制线路网络的正确操作和维护方法，必须严格遵守各项安全操作规程和交通管理规则，作业时安全防护用品必须穿戴齐全。   </w:t>
      </w:r>
    </w:p>
    <w:p w14:paraId="0F27048D">
      <w:pPr>
        <w:spacing w:line="430" w:lineRule="exact"/>
        <w:ind w:firstLine="566" w:firstLineChars="236"/>
        <w:jc w:val="left"/>
        <w:textAlignment w:val="auto"/>
        <w:rPr>
          <w:rStyle w:val="21"/>
          <w:rFonts w:hint="eastAsia" w:cs="仿宋" w:asciiTheme="minorEastAsia" w:hAnsiTheme="minorEastAsia" w:eastAsiaTheme="minorEastAsia"/>
          <w:kern w:val="0"/>
          <w:sz w:val="24"/>
          <w:szCs w:val="24"/>
          <w:lang w:val="en-US" w:eastAsia="zh-CN"/>
        </w:rPr>
      </w:pPr>
      <w:r>
        <w:rPr>
          <w:rStyle w:val="21"/>
          <w:rFonts w:hint="eastAsia" w:cs="仿宋" w:asciiTheme="minorEastAsia" w:hAnsiTheme="minorEastAsia" w:eastAsiaTheme="minorEastAsia"/>
          <w:kern w:val="0"/>
          <w:sz w:val="24"/>
          <w:szCs w:val="24"/>
          <w:lang w:val="en-US" w:eastAsia="zh-CN"/>
        </w:rPr>
        <w:t>（5）应建立完善的抢修应急预案。养护单位应根据维修区域、维修总量的特点制定完整合理的书面应急预案，建立反应迅速、运转高效的应急响应机制，确保任何地点发生故障均能在30分钟内到达现场。</w:t>
      </w:r>
    </w:p>
    <w:p w14:paraId="67A0694E">
      <w:pPr>
        <w:spacing w:line="430" w:lineRule="exact"/>
        <w:ind w:firstLine="566" w:firstLineChars="236"/>
        <w:jc w:val="left"/>
        <w:textAlignment w:val="auto"/>
        <w:rPr>
          <w:rStyle w:val="21"/>
          <w:rFonts w:hint="eastAsia" w:cs="仿宋" w:asciiTheme="minorEastAsia" w:hAnsiTheme="minorEastAsia" w:eastAsiaTheme="minorEastAsia"/>
          <w:kern w:val="0"/>
          <w:sz w:val="24"/>
          <w:szCs w:val="24"/>
          <w:lang w:val="en-US" w:eastAsia="zh-CN"/>
        </w:rPr>
      </w:pPr>
      <w:r>
        <w:rPr>
          <w:rStyle w:val="21"/>
          <w:rFonts w:hint="eastAsia" w:cs="仿宋" w:asciiTheme="minorEastAsia" w:hAnsiTheme="minorEastAsia" w:eastAsiaTheme="minorEastAsia"/>
          <w:kern w:val="0"/>
          <w:sz w:val="24"/>
          <w:szCs w:val="24"/>
          <w:lang w:val="en-US" w:eastAsia="zh-CN"/>
        </w:rPr>
        <w:t>（6）应建立和健全所管辖区域内路灯资料管理档案（路灯控制系统图、分布图等），根据变化随时修正，保证其准确性。</w:t>
      </w:r>
    </w:p>
    <w:p w14:paraId="06A4F757">
      <w:pPr>
        <w:spacing w:line="430" w:lineRule="exact"/>
        <w:ind w:firstLine="566" w:firstLineChars="236"/>
        <w:jc w:val="left"/>
        <w:textAlignment w:val="auto"/>
        <w:rPr>
          <w:rStyle w:val="21"/>
          <w:rFonts w:hint="eastAsia" w:cs="仿宋" w:asciiTheme="minorEastAsia" w:hAnsiTheme="minorEastAsia" w:eastAsiaTheme="minorEastAsia"/>
          <w:kern w:val="0"/>
          <w:sz w:val="24"/>
          <w:szCs w:val="24"/>
          <w:lang w:val="en-US" w:eastAsia="zh-CN"/>
        </w:rPr>
      </w:pPr>
      <w:r>
        <w:rPr>
          <w:rStyle w:val="21"/>
          <w:rFonts w:hint="eastAsia" w:cs="仿宋" w:asciiTheme="minorEastAsia" w:hAnsiTheme="minorEastAsia" w:eastAsiaTheme="minorEastAsia"/>
          <w:kern w:val="0"/>
          <w:sz w:val="24"/>
          <w:szCs w:val="24"/>
          <w:lang w:val="en-US" w:eastAsia="zh-CN"/>
        </w:rPr>
        <w:t>（7）应建立设备材料管理制度。准备充足的维修材料（如灯杆、灯具、光伏板、蓄电池等），以应对日常维修及突发事件的需要。</w:t>
      </w:r>
    </w:p>
    <w:p w14:paraId="1DD59C97">
      <w:pPr>
        <w:spacing w:line="430" w:lineRule="exact"/>
        <w:ind w:firstLine="566" w:firstLineChars="236"/>
        <w:jc w:val="left"/>
        <w:textAlignment w:val="auto"/>
        <w:rPr>
          <w:rStyle w:val="21"/>
          <w:rFonts w:hint="eastAsia" w:cs="仿宋" w:asciiTheme="minorEastAsia" w:hAnsiTheme="minorEastAsia" w:eastAsiaTheme="minorEastAsia"/>
          <w:kern w:val="0"/>
          <w:sz w:val="24"/>
          <w:szCs w:val="24"/>
          <w:lang w:val="en-US" w:eastAsia="zh-CN"/>
        </w:rPr>
      </w:pPr>
      <w:r>
        <w:rPr>
          <w:rStyle w:val="21"/>
          <w:rFonts w:hint="eastAsia" w:cs="仿宋" w:asciiTheme="minorEastAsia" w:hAnsiTheme="minorEastAsia" w:eastAsiaTheme="minorEastAsia"/>
          <w:kern w:val="0"/>
          <w:sz w:val="24"/>
          <w:szCs w:val="24"/>
          <w:lang w:val="en-US" w:eastAsia="zh-CN"/>
        </w:rPr>
        <w:t>（8）应建立安全生产管理体系。确定安全责任制度，包括路灯维修队伍安全、消防、交通等安全工作。安全生产管理制度包括：安全生产检查制度、路灯工程安全操作规程、安全行车规定、员工安全生产教育培训制度。</w:t>
      </w:r>
    </w:p>
    <w:p w14:paraId="53530498">
      <w:pPr>
        <w:spacing w:line="430" w:lineRule="exact"/>
        <w:ind w:firstLine="566" w:firstLineChars="236"/>
        <w:jc w:val="left"/>
        <w:textAlignment w:val="auto"/>
        <w:rPr>
          <w:rStyle w:val="21"/>
          <w:rFonts w:hint="eastAsia" w:cs="仿宋" w:asciiTheme="minorEastAsia" w:hAnsiTheme="minorEastAsia" w:eastAsiaTheme="minorEastAsia"/>
          <w:kern w:val="0"/>
          <w:sz w:val="24"/>
          <w:szCs w:val="24"/>
          <w:lang w:val="en-US" w:eastAsia="zh-CN"/>
        </w:rPr>
      </w:pPr>
      <w:r>
        <w:rPr>
          <w:rStyle w:val="21"/>
          <w:rFonts w:hint="eastAsia" w:cs="仿宋" w:asciiTheme="minorEastAsia" w:hAnsiTheme="minorEastAsia" w:eastAsiaTheme="minorEastAsia"/>
          <w:kern w:val="0"/>
          <w:sz w:val="24"/>
          <w:szCs w:val="24"/>
          <w:lang w:val="en-US" w:eastAsia="zh-CN"/>
        </w:rPr>
        <w:t>（9）应建立文明施工和环境保护的制度和措施，落实文明施工和环境保护的相关责任人。养护单位在路灯维修施工中，需开挖绿地及城市道路的，应在办理相关审批手续并采取安全措施的情况下方能进行施工。养护单位擅自作业造成绿地、城市道路被开挖破坏的，由其承担相应责任。</w:t>
      </w:r>
    </w:p>
    <w:p w14:paraId="6C5ADDB7">
      <w:pPr>
        <w:spacing w:line="430" w:lineRule="exact"/>
        <w:ind w:firstLine="566" w:firstLineChars="236"/>
        <w:jc w:val="left"/>
        <w:textAlignment w:val="auto"/>
        <w:rPr>
          <w:rStyle w:val="21"/>
          <w:rFonts w:hint="eastAsia" w:cs="仿宋" w:asciiTheme="minorEastAsia" w:hAnsiTheme="minorEastAsia" w:eastAsiaTheme="minorEastAsia"/>
          <w:kern w:val="0"/>
          <w:sz w:val="24"/>
          <w:szCs w:val="24"/>
          <w:lang w:val="en-US" w:eastAsia="zh-CN"/>
        </w:rPr>
      </w:pPr>
      <w:r>
        <w:rPr>
          <w:rStyle w:val="21"/>
          <w:rFonts w:hint="eastAsia" w:cs="仿宋" w:asciiTheme="minorEastAsia" w:hAnsiTheme="minorEastAsia" w:eastAsiaTheme="minorEastAsia"/>
          <w:kern w:val="0"/>
          <w:sz w:val="24"/>
          <w:szCs w:val="24"/>
          <w:lang w:val="en-US" w:eastAsia="zh-CN"/>
        </w:rPr>
        <w:t>（10）应每月进行定期检测，对金属灯杆接地网等安全系统进行测试，测试完成后应及时向发包人上报测试报告，并立即对测试不合格的进行整改。</w:t>
      </w:r>
    </w:p>
    <w:p w14:paraId="4309DDDB">
      <w:pPr>
        <w:spacing w:line="430" w:lineRule="exact"/>
        <w:ind w:firstLine="566" w:firstLineChars="236"/>
        <w:jc w:val="left"/>
        <w:textAlignment w:val="auto"/>
        <w:rPr>
          <w:rStyle w:val="21"/>
          <w:rFonts w:hint="eastAsia" w:cs="仿宋" w:asciiTheme="minorEastAsia" w:hAnsiTheme="minorEastAsia" w:eastAsiaTheme="minorEastAsia"/>
          <w:kern w:val="0"/>
          <w:sz w:val="24"/>
          <w:szCs w:val="24"/>
          <w:lang w:val="en-US" w:eastAsia="zh-CN"/>
        </w:rPr>
      </w:pPr>
      <w:r>
        <w:rPr>
          <w:rStyle w:val="21"/>
          <w:rFonts w:hint="eastAsia" w:cs="仿宋" w:asciiTheme="minorEastAsia" w:hAnsiTheme="minorEastAsia" w:eastAsiaTheme="minorEastAsia"/>
          <w:kern w:val="0"/>
          <w:sz w:val="24"/>
          <w:szCs w:val="24"/>
          <w:lang w:val="en-US" w:eastAsia="zh-CN"/>
        </w:rPr>
        <w:t>（11）应建立养护档案，并应包括下列内容：照明设施技术文件、路灯数量统计记录、常规巡检记录、设施报修抢修记录、亮灯率检查台帐、设施完好率检查台帐、定期检测记录、值班记录等。</w:t>
      </w:r>
    </w:p>
    <w:p w14:paraId="17C3A28F">
      <w:pPr>
        <w:spacing w:line="430" w:lineRule="exact"/>
        <w:ind w:firstLine="569" w:firstLineChars="236"/>
        <w:jc w:val="left"/>
        <w:textAlignment w:val="auto"/>
        <w:rPr>
          <w:rStyle w:val="21"/>
          <w:rFonts w:hint="eastAsia" w:cs="仿宋" w:asciiTheme="minorEastAsia" w:hAnsiTheme="minorEastAsia" w:eastAsiaTheme="minorEastAsia"/>
          <w:b/>
          <w:bCs/>
          <w:kern w:val="0"/>
          <w:sz w:val="24"/>
          <w:szCs w:val="24"/>
        </w:rPr>
      </w:pPr>
      <w:r>
        <w:rPr>
          <w:rStyle w:val="21"/>
          <w:rFonts w:hint="eastAsia" w:cs="仿宋" w:asciiTheme="minorEastAsia" w:hAnsiTheme="minorEastAsia" w:eastAsiaTheme="minorEastAsia"/>
          <w:b/>
          <w:bCs/>
          <w:kern w:val="0"/>
          <w:sz w:val="24"/>
          <w:szCs w:val="24"/>
        </w:rPr>
        <w:t>二、约定事项：</w:t>
      </w:r>
    </w:p>
    <w:p w14:paraId="4ABAFFF6">
      <w:pPr>
        <w:spacing w:line="430" w:lineRule="exact"/>
        <w:ind w:firstLine="569" w:firstLineChars="236"/>
        <w:jc w:val="left"/>
        <w:textAlignment w:val="auto"/>
        <w:rPr>
          <w:rStyle w:val="21"/>
          <w:rFonts w:hint="eastAsia" w:cs="仿宋" w:asciiTheme="minorEastAsia" w:hAnsiTheme="minorEastAsia" w:eastAsiaTheme="minorEastAsia"/>
          <w:b/>
          <w:bCs/>
          <w:kern w:val="0"/>
          <w:sz w:val="24"/>
          <w:szCs w:val="24"/>
        </w:rPr>
      </w:pPr>
      <w:r>
        <w:rPr>
          <w:rStyle w:val="21"/>
          <w:rFonts w:hint="eastAsia" w:cs="仿宋" w:asciiTheme="minorEastAsia" w:hAnsiTheme="minorEastAsia" w:eastAsiaTheme="minorEastAsia"/>
          <w:b/>
          <w:bCs/>
          <w:kern w:val="0"/>
          <w:sz w:val="24"/>
          <w:szCs w:val="24"/>
        </w:rPr>
        <w:t>1.服务期限：</w:t>
      </w:r>
    </w:p>
    <w:p w14:paraId="18DAB1A3">
      <w:pPr>
        <w:spacing w:line="430" w:lineRule="exact"/>
        <w:ind w:firstLine="569" w:firstLineChars="236"/>
        <w:jc w:val="left"/>
        <w:textAlignment w:val="auto"/>
        <w:rPr>
          <w:rStyle w:val="21"/>
          <w:rFonts w:hint="eastAsia" w:cs="仿宋" w:asciiTheme="minorEastAsia" w:hAnsiTheme="minorEastAsia" w:eastAsiaTheme="minorEastAsia"/>
          <w:b/>
          <w:bCs/>
          <w:kern w:val="0"/>
          <w:sz w:val="24"/>
          <w:szCs w:val="24"/>
        </w:rPr>
      </w:pPr>
      <w:r>
        <w:rPr>
          <w:rStyle w:val="21"/>
          <w:rFonts w:hint="eastAsia" w:cs="仿宋" w:asciiTheme="minorEastAsia" w:hAnsiTheme="minorEastAsia" w:eastAsiaTheme="minorEastAsia"/>
          <w:b/>
          <w:bCs/>
          <w:kern w:val="0"/>
          <w:sz w:val="24"/>
          <w:szCs w:val="24"/>
        </w:rPr>
        <w:t>（1）改造期：自合同签订之日起120个日历天完成路灯设施的节能改造，并通过采购人组织的竣工验收；</w:t>
      </w:r>
    </w:p>
    <w:p w14:paraId="5EAC481B">
      <w:pPr>
        <w:spacing w:line="430" w:lineRule="exact"/>
        <w:ind w:firstLine="569" w:firstLineChars="236"/>
        <w:jc w:val="left"/>
        <w:textAlignment w:val="auto"/>
        <w:rPr>
          <w:rStyle w:val="21"/>
          <w:rFonts w:hint="eastAsia" w:cs="仿宋" w:asciiTheme="minorEastAsia" w:hAnsiTheme="minorEastAsia" w:eastAsiaTheme="minorEastAsia"/>
          <w:b/>
          <w:bCs/>
          <w:kern w:val="0"/>
          <w:sz w:val="24"/>
          <w:szCs w:val="24"/>
        </w:rPr>
      </w:pPr>
      <w:r>
        <w:rPr>
          <w:rStyle w:val="21"/>
          <w:rFonts w:hint="eastAsia" w:cs="仿宋" w:asciiTheme="minorEastAsia" w:hAnsiTheme="minorEastAsia" w:eastAsiaTheme="minorEastAsia"/>
          <w:b/>
          <w:bCs/>
          <w:kern w:val="0"/>
          <w:sz w:val="24"/>
          <w:szCs w:val="24"/>
        </w:rPr>
        <w:t>（2）养护期：自验收合格之日起进入养护期，养护期为十五年。</w:t>
      </w:r>
    </w:p>
    <w:p w14:paraId="74602AC2">
      <w:pPr>
        <w:spacing w:line="430" w:lineRule="exact"/>
        <w:ind w:firstLine="566" w:firstLineChars="236"/>
        <w:jc w:val="left"/>
        <w:textAlignment w:val="auto"/>
        <w:rPr>
          <w:rStyle w:val="21"/>
          <w:rFonts w:hint="eastAsia" w:cs="仿宋" w:asciiTheme="minorEastAsia" w:hAnsiTheme="minorEastAsia" w:eastAsiaTheme="minorEastAsia"/>
          <w:kern w:val="0"/>
          <w:sz w:val="24"/>
          <w:szCs w:val="24"/>
        </w:rPr>
      </w:pPr>
      <w:r>
        <w:rPr>
          <w:rStyle w:val="21"/>
          <w:rFonts w:hint="eastAsia" w:cs="仿宋" w:asciiTheme="minorEastAsia" w:hAnsiTheme="minorEastAsia" w:eastAsiaTheme="minorEastAsia"/>
          <w:kern w:val="0"/>
          <w:sz w:val="24"/>
          <w:szCs w:val="24"/>
        </w:rPr>
        <w:t>2.市场询价表及相关材料于</w:t>
      </w:r>
      <w:r>
        <w:rPr>
          <w:rStyle w:val="21"/>
          <w:rFonts w:hint="eastAsia" w:cs="仿宋" w:asciiTheme="minorEastAsia" w:hAnsiTheme="minorEastAsia" w:eastAsiaTheme="minorEastAsia"/>
          <w:kern w:val="0"/>
          <w:sz w:val="24"/>
          <w:szCs w:val="24"/>
          <w:lang w:val="en-US" w:eastAsia="zh-CN"/>
        </w:rPr>
        <w:t>2026</w:t>
      </w:r>
      <w:r>
        <w:rPr>
          <w:rStyle w:val="21"/>
          <w:rFonts w:hint="eastAsia" w:cs="仿宋" w:asciiTheme="minorEastAsia" w:hAnsiTheme="minorEastAsia" w:eastAsiaTheme="minorEastAsia"/>
          <w:kern w:val="0"/>
          <w:sz w:val="24"/>
          <w:szCs w:val="24"/>
        </w:rPr>
        <w:t>年</w:t>
      </w:r>
      <w:r>
        <w:rPr>
          <w:rStyle w:val="21"/>
          <w:rFonts w:hint="eastAsia" w:cs="仿宋" w:asciiTheme="minorEastAsia" w:hAnsiTheme="minorEastAsia" w:eastAsiaTheme="minorEastAsia"/>
          <w:kern w:val="0"/>
          <w:sz w:val="24"/>
          <w:szCs w:val="24"/>
          <w:lang w:val="en-US" w:eastAsia="zh-CN"/>
        </w:rPr>
        <w:t>1</w:t>
      </w:r>
      <w:r>
        <w:rPr>
          <w:rStyle w:val="21"/>
          <w:rFonts w:hint="eastAsia" w:cs="仿宋" w:asciiTheme="minorEastAsia" w:hAnsiTheme="minorEastAsia" w:eastAsiaTheme="minorEastAsia"/>
          <w:kern w:val="0"/>
          <w:sz w:val="24"/>
          <w:szCs w:val="24"/>
        </w:rPr>
        <w:t>月</w:t>
      </w:r>
      <w:r>
        <w:rPr>
          <w:rStyle w:val="21"/>
          <w:rFonts w:hint="eastAsia" w:cs="仿宋" w:asciiTheme="minorEastAsia" w:hAnsiTheme="minorEastAsia" w:eastAsiaTheme="minorEastAsia"/>
          <w:kern w:val="0"/>
          <w:sz w:val="24"/>
          <w:szCs w:val="24"/>
          <w:lang w:val="en-US" w:eastAsia="zh-CN"/>
        </w:rPr>
        <w:t>12</w:t>
      </w:r>
      <w:r>
        <w:rPr>
          <w:rStyle w:val="21"/>
          <w:rFonts w:hint="eastAsia" w:cs="仿宋" w:asciiTheme="minorEastAsia" w:hAnsiTheme="minorEastAsia" w:eastAsiaTheme="minorEastAsia"/>
          <w:kern w:val="0"/>
          <w:sz w:val="24"/>
          <w:szCs w:val="24"/>
        </w:rPr>
        <w:t>日17:00前，送或寄（以邮戳为准）启东市</w:t>
      </w:r>
      <w:r>
        <w:rPr>
          <w:rStyle w:val="21"/>
          <w:rFonts w:hint="eastAsia" w:cs="仿宋" w:asciiTheme="minorEastAsia" w:hAnsiTheme="minorEastAsia" w:eastAsiaTheme="minorEastAsia"/>
          <w:kern w:val="0"/>
          <w:sz w:val="24"/>
          <w:szCs w:val="24"/>
          <w:lang w:val="en-US" w:eastAsia="zh-CN"/>
        </w:rPr>
        <w:t>华石路金双喜集团5楼501室</w:t>
      </w:r>
      <w:r>
        <w:rPr>
          <w:rStyle w:val="21"/>
          <w:rFonts w:hint="eastAsia" w:cs="仿宋" w:asciiTheme="minorEastAsia" w:hAnsiTheme="minorEastAsia" w:eastAsiaTheme="minorEastAsia"/>
          <w:kern w:val="0"/>
          <w:sz w:val="24"/>
          <w:szCs w:val="24"/>
        </w:rPr>
        <w:t>，联系人：</w:t>
      </w:r>
      <w:r>
        <w:rPr>
          <w:rStyle w:val="21"/>
          <w:rFonts w:hint="eastAsia" w:cs="仿宋" w:asciiTheme="minorEastAsia" w:hAnsiTheme="minorEastAsia" w:eastAsiaTheme="minorEastAsia"/>
          <w:kern w:val="0"/>
          <w:sz w:val="24"/>
          <w:szCs w:val="24"/>
          <w:lang w:val="en-US" w:eastAsia="zh-CN"/>
        </w:rPr>
        <w:t>吴嘉丽</w:t>
      </w:r>
      <w:r>
        <w:rPr>
          <w:rStyle w:val="21"/>
          <w:rFonts w:hint="eastAsia" w:cs="仿宋" w:asciiTheme="minorEastAsia" w:hAnsiTheme="minorEastAsia" w:eastAsiaTheme="minorEastAsia"/>
          <w:kern w:val="0"/>
          <w:sz w:val="24"/>
          <w:szCs w:val="24"/>
        </w:rPr>
        <w:t>，联系电话：</w:t>
      </w:r>
      <w:r>
        <w:rPr>
          <w:rStyle w:val="21"/>
          <w:rFonts w:hint="eastAsia" w:cs="仿宋" w:asciiTheme="minorEastAsia" w:hAnsiTheme="minorEastAsia" w:eastAsiaTheme="minorEastAsia"/>
          <w:kern w:val="0"/>
          <w:sz w:val="24"/>
          <w:szCs w:val="24"/>
          <w:lang w:val="en-US" w:eastAsia="zh-CN"/>
        </w:rPr>
        <w:t>13912227671</w:t>
      </w:r>
      <w:r>
        <w:rPr>
          <w:rStyle w:val="21"/>
          <w:rFonts w:hint="eastAsia" w:cs="仿宋" w:asciiTheme="minorEastAsia" w:hAnsiTheme="minorEastAsia" w:eastAsiaTheme="minorEastAsia"/>
          <w:kern w:val="0"/>
          <w:sz w:val="24"/>
          <w:szCs w:val="24"/>
        </w:rPr>
        <w:t>；或发送电子扫描件至</w:t>
      </w:r>
      <w:r>
        <w:rPr>
          <w:rStyle w:val="21"/>
          <w:rFonts w:hint="eastAsia" w:cs="仿宋" w:asciiTheme="minorEastAsia" w:hAnsiTheme="minorEastAsia" w:eastAsiaTheme="minorEastAsia"/>
          <w:kern w:val="0"/>
          <w:sz w:val="24"/>
          <w:szCs w:val="24"/>
          <w:lang w:val="en-US" w:eastAsia="zh-CN"/>
        </w:rPr>
        <w:t>1226265577@qq.com</w:t>
      </w:r>
      <w:r>
        <w:rPr>
          <w:rStyle w:val="21"/>
          <w:rFonts w:hint="eastAsia" w:cs="仿宋" w:asciiTheme="minorEastAsia" w:hAnsiTheme="minorEastAsia" w:eastAsiaTheme="minorEastAsia"/>
          <w:kern w:val="0"/>
          <w:sz w:val="24"/>
          <w:szCs w:val="24"/>
        </w:rPr>
        <w:t>邮箱。</w:t>
      </w:r>
      <w:bookmarkStart w:id="0" w:name="_GoBack"/>
      <w:bookmarkEnd w:id="0"/>
    </w:p>
    <w:p w14:paraId="20F0ADDD">
      <w:pPr>
        <w:spacing w:line="430" w:lineRule="exact"/>
        <w:ind w:firstLine="566" w:firstLineChars="236"/>
        <w:jc w:val="left"/>
        <w:textAlignment w:val="auto"/>
        <w:rPr>
          <w:rStyle w:val="21"/>
          <w:rFonts w:hint="eastAsia" w:cs="仿宋" w:asciiTheme="minorEastAsia" w:hAnsiTheme="minorEastAsia" w:eastAsiaTheme="minorEastAsia"/>
          <w:kern w:val="0"/>
          <w:sz w:val="24"/>
          <w:szCs w:val="24"/>
        </w:rPr>
      </w:pPr>
      <w:r>
        <w:rPr>
          <w:rStyle w:val="21"/>
          <w:rFonts w:hint="eastAsia" w:cs="仿宋" w:asciiTheme="minorEastAsia" w:hAnsiTheme="minorEastAsia" w:eastAsiaTheme="minorEastAsia"/>
          <w:kern w:val="0"/>
          <w:sz w:val="24"/>
          <w:szCs w:val="24"/>
        </w:rPr>
        <w:t>3.养护费报价及结算规则：</w:t>
      </w:r>
    </w:p>
    <w:p w14:paraId="6C74C7A4">
      <w:pPr>
        <w:spacing w:line="430" w:lineRule="exact"/>
        <w:ind w:firstLine="566" w:firstLineChars="236"/>
        <w:jc w:val="left"/>
        <w:textAlignment w:val="auto"/>
        <w:rPr>
          <w:rStyle w:val="21"/>
          <w:rFonts w:hint="eastAsia" w:cs="仿宋" w:asciiTheme="minorEastAsia" w:hAnsiTheme="minorEastAsia" w:eastAsiaTheme="minorEastAsia"/>
          <w:kern w:val="0"/>
          <w:sz w:val="24"/>
          <w:szCs w:val="24"/>
        </w:rPr>
      </w:pPr>
      <w:r>
        <w:rPr>
          <w:rStyle w:val="21"/>
          <w:rFonts w:hint="eastAsia" w:cs="仿宋" w:asciiTheme="minorEastAsia" w:hAnsiTheme="minorEastAsia" w:eastAsiaTheme="minorEastAsia"/>
          <w:kern w:val="0"/>
          <w:sz w:val="24"/>
          <w:szCs w:val="24"/>
        </w:rPr>
        <w:t>（1）本项目改造费用采用固定全费用综合单价报价方式，供应商的报价应包括本项目所有涉及的全部费用，供应商须充分考虑本项目的特殊性和不可预见性在内的所有为完成本项目全过程所需的一切费用，报价中含包括（但不限于）全部货物采购、制作、运输、安装、调试、设备设施、辅材、人工、装卸、货物运输、搬运（含二次搬运）、登高、仓储、工具、劳务费、检测、验收、保险、税金、规费、样品等所有与本项目相关的费用，以及根据国家、省、市、项目所在地政府及相关部门的规定缴纳有关费用。请各供应商在报价时充分考虑各种因素，在合同实施期间，合同综合单价（全费用综合单价）不因市场价格波动和各种风险因素的发生而进行调整,其中改造数量按照实际安装的数量按实结算，由此产生的相关风险由成交供应商自行承担。除双方另有约定外，采购人无须向成交供应商支付其他任何费用。</w:t>
      </w:r>
    </w:p>
    <w:p w14:paraId="7CBB1495">
      <w:pPr>
        <w:spacing w:line="430" w:lineRule="exact"/>
        <w:ind w:firstLine="566" w:firstLineChars="236"/>
        <w:jc w:val="left"/>
        <w:textAlignment w:val="auto"/>
        <w:rPr>
          <w:rStyle w:val="21"/>
          <w:rFonts w:hint="eastAsia" w:cs="仿宋" w:asciiTheme="minorEastAsia" w:hAnsiTheme="minorEastAsia" w:eastAsiaTheme="minorEastAsia"/>
          <w:kern w:val="0"/>
          <w:sz w:val="24"/>
          <w:szCs w:val="24"/>
        </w:rPr>
      </w:pPr>
      <w:r>
        <w:rPr>
          <w:rStyle w:val="21"/>
          <w:rFonts w:hint="eastAsia" w:cs="仿宋" w:asciiTheme="minorEastAsia" w:hAnsiTheme="minorEastAsia" w:eastAsiaTheme="minorEastAsia"/>
          <w:kern w:val="0"/>
          <w:sz w:val="24"/>
          <w:szCs w:val="24"/>
        </w:rPr>
        <w:t>（2）本项目养护服务费为包干费，供应商的报价应为完成本项目全过程所需的一切费用，包括但不限于按合同规定应完成的管理人员、维护人员和维修人员人工费及高空作业保险费，各种协调费用、日常高空作业车辆等特种车辆及设备设施使用费、车辆保险费、日常维修材料费（含灯具、光伏板、蓄电池等）、大型机械进出场费，以及路灯设施设备巡查检修、日常维修和更换维修等费用，以及完成上述养护所需要的管理、利润、规费、措施项目费、税金、技术措施、检验试验费、保险、施工方法等合同履行过程中可能发生的风险等全部费用。</w:t>
      </w:r>
    </w:p>
    <w:p w14:paraId="256D8D77">
      <w:pPr>
        <w:spacing w:line="430" w:lineRule="exact"/>
        <w:ind w:firstLine="566" w:firstLineChars="236"/>
        <w:jc w:val="left"/>
        <w:textAlignment w:val="auto"/>
        <w:rPr>
          <w:rStyle w:val="21"/>
          <w:rFonts w:hint="eastAsia" w:cs="仿宋" w:asciiTheme="minorEastAsia" w:hAnsiTheme="minorEastAsia" w:eastAsiaTheme="minorEastAsia"/>
          <w:kern w:val="0"/>
          <w:sz w:val="24"/>
          <w:szCs w:val="24"/>
        </w:rPr>
      </w:pPr>
      <w:r>
        <w:rPr>
          <w:rStyle w:val="21"/>
          <w:rFonts w:hint="eastAsia" w:cs="仿宋" w:asciiTheme="minorEastAsia" w:hAnsiTheme="minorEastAsia" w:eastAsiaTheme="minorEastAsia"/>
          <w:kern w:val="0"/>
          <w:sz w:val="24"/>
          <w:szCs w:val="24"/>
        </w:rPr>
        <w:t>4.维修费报价及结算规则：</w:t>
      </w:r>
    </w:p>
    <w:p w14:paraId="4E9E5F35">
      <w:pPr>
        <w:spacing w:line="430" w:lineRule="exact"/>
        <w:ind w:firstLine="566" w:firstLineChars="236"/>
        <w:jc w:val="left"/>
        <w:textAlignment w:val="auto"/>
        <w:rPr>
          <w:rStyle w:val="21"/>
          <w:rFonts w:hint="eastAsia" w:cs="仿宋" w:asciiTheme="minorEastAsia" w:hAnsiTheme="minorEastAsia" w:eastAsiaTheme="minorEastAsia"/>
          <w:kern w:val="0"/>
          <w:sz w:val="24"/>
          <w:szCs w:val="24"/>
        </w:rPr>
      </w:pPr>
      <w:r>
        <w:rPr>
          <w:rStyle w:val="21"/>
          <w:rFonts w:hint="eastAsia" w:cs="仿宋" w:asciiTheme="minorEastAsia" w:hAnsiTheme="minorEastAsia" w:eastAsiaTheme="minorEastAsia"/>
          <w:kern w:val="0"/>
          <w:sz w:val="24"/>
          <w:szCs w:val="24"/>
        </w:rPr>
        <w:t>(1)结算原则</w:t>
      </w:r>
    </w:p>
    <w:p w14:paraId="46C7E12C">
      <w:pPr>
        <w:spacing w:line="430" w:lineRule="exact"/>
        <w:ind w:firstLine="566" w:firstLineChars="236"/>
        <w:jc w:val="left"/>
        <w:textAlignment w:val="auto"/>
        <w:rPr>
          <w:rStyle w:val="21"/>
          <w:rFonts w:hint="eastAsia" w:cs="仿宋" w:asciiTheme="minorEastAsia" w:hAnsiTheme="minorEastAsia" w:eastAsiaTheme="minorEastAsia"/>
          <w:kern w:val="0"/>
          <w:sz w:val="24"/>
          <w:szCs w:val="24"/>
        </w:rPr>
      </w:pPr>
      <w:r>
        <w:rPr>
          <w:rStyle w:val="21"/>
          <w:rFonts w:hint="eastAsia" w:cs="仿宋" w:asciiTheme="minorEastAsia" w:hAnsiTheme="minorEastAsia" w:eastAsiaTheme="minorEastAsia"/>
          <w:kern w:val="0"/>
          <w:sz w:val="24"/>
          <w:szCs w:val="24"/>
        </w:rPr>
        <w:t>①改造费用采用固定单价合同形式，工程量清单中列明的全费用综合单价为最终结算单价，包含人工、高空作业费、保险费、材料、协调费、机械、管理、利润、税费等所有相关成本。</w:t>
      </w:r>
    </w:p>
    <w:p w14:paraId="5F53E2A3">
      <w:pPr>
        <w:spacing w:line="430" w:lineRule="exact"/>
        <w:ind w:firstLine="566" w:firstLineChars="236"/>
        <w:jc w:val="left"/>
        <w:textAlignment w:val="auto"/>
        <w:rPr>
          <w:rStyle w:val="21"/>
          <w:rFonts w:hint="eastAsia" w:cs="仿宋" w:asciiTheme="minorEastAsia" w:hAnsiTheme="minorEastAsia" w:eastAsiaTheme="minorEastAsia"/>
          <w:kern w:val="0"/>
          <w:sz w:val="24"/>
          <w:szCs w:val="24"/>
        </w:rPr>
      </w:pPr>
      <w:r>
        <w:rPr>
          <w:rStyle w:val="21"/>
          <w:rFonts w:cs="仿宋" w:asciiTheme="minorEastAsia" w:hAnsiTheme="minorEastAsia" w:eastAsiaTheme="minorEastAsia"/>
          <w:kern w:val="0"/>
          <w:sz w:val="24"/>
          <w:szCs w:val="24"/>
        </w:rPr>
        <w:t>最终结算总价计算公式为:最终结算总价=∑(经发包人现场代表书面确认的实际完成工程量×工程量清单对应全费用综合单价)</w:t>
      </w:r>
    </w:p>
    <w:p w14:paraId="7E2071E4">
      <w:pPr>
        <w:spacing w:line="430" w:lineRule="exact"/>
        <w:ind w:firstLine="566" w:firstLineChars="236"/>
        <w:jc w:val="left"/>
        <w:textAlignment w:val="auto"/>
        <w:rPr>
          <w:rStyle w:val="21"/>
          <w:rFonts w:hint="eastAsia" w:cs="仿宋" w:asciiTheme="minorEastAsia" w:hAnsiTheme="minorEastAsia" w:eastAsiaTheme="minorEastAsia"/>
          <w:kern w:val="0"/>
          <w:sz w:val="24"/>
          <w:szCs w:val="24"/>
        </w:rPr>
      </w:pPr>
      <w:r>
        <w:rPr>
          <w:rStyle w:val="21"/>
          <w:rFonts w:hint="eastAsia" w:cs="仿宋" w:asciiTheme="minorEastAsia" w:hAnsiTheme="minorEastAsia" w:eastAsiaTheme="minorEastAsia"/>
          <w:kern w:val="0"/>
          <w:sz w:val="24"/>
          <w:szCs w:val="24"/>
        </w:rPr>
        <w:t>②养护服务费采用包干合同形式，包括但不限于按合同规定应完成的管理人员、维护人员和维修人员人工费及高空作业保险费，各种协调费用、日常高空作业车辆等特种车辆及设备设施使用费、车辆保险费、日常维修材料费（含灯具、光伏板、蓄电池等）、大型机械进出场费，以及路灯设施设备巡查检修、日常维修和更换维修等费用，以及完成上述养护所需要的管理、利润、规费、措施项目费、税金、技术措施、检验试验费、保险、施工方法等合同履行过程中可能发生的风险等全部费用。</w:t>
      </w:r>
    </w:p>
    <w:p w14:paraId="79D0CEFC">
      <w:pPr>
        <w:spacing w:line="430" w:lineRule="exact"/>
        <w:ind w:firstLine="566" w:firstLineChars="236"/>
        <w:jc w:val="left"/>
        <w:textAlignment w:val="auto"/>
        <w:rPr>
          <w:rStyle w:val="21"/>
          <w:rFonts w:hint="eastAsia" w:cs="仿宋" w:asciiTheme="minorEastAsia" w:hAnsiTheme="minorEastAsia" w:eastAsiaTheme="minorEastAsia"/>
          <w:kern w:val="0"/>
          <w:sz w:val="24"/>
          <w:szCs w:val="24"/>
        </w:rPr>
      </w:pPr>
      <w:r>
        <w:rPr>
          <w:rStyle w:val="21"/>
          <w:rFonts w:hint="eastAsia" w:cs="仿宋" w:asciiTheme="minorEastAsia" w:hAnsiTheme="minorEastAsia" w:eastAsiaTheme="minorEastAsia"/>
          <w:kern w:val="0"/>
          <w:sz w:val="24"/>
          <w:szCs w:val="24"/>
        </w:rPr>
        <w:t>③合同履行期间，上述全费用综合单价保持固定不变，不受市场价格波动、政策调整等因素影响。</w:t>
      </w:r>
    </w:p>
    <w:p w14:paraId="5B152F13">
      <w:pPr>
        <w:spacing w:line="430" w:lineRule="exact"/>
        <w:ind w:firstLine="569" w:firstLineChars="236"/>
        <w:jc w:val="left"/>
        <w:textAlignment w:val="auto"/>
        <w:rPr>
          <w:rStyle w:val="21"/>
          <w:rFonts w:hint="eastAsia" w:cs="仿宋" w:asciiTheme="minorEastAsia" w:hAnsiTheme="minorEastAsia" w:eastAsiaTheme="minorEastAsia"/>
          <w:b/>
          <w:bCs/>
          <w:kern w:val="0"/>
          <w:sz w:val="24"/>
          <w:szCs w:val="24"/>
        </w:rPr>
      </w:pPr>
      <w:r>
        <w:rPr>
          <w:rStyle w:val="21"/>
          <w:rFonts w:hint="eastAsia" w:cs="仿宋" w:asciiTheme="minorEastAsia" w:hAnsiTheme="minorEastAsia" w:eastAsiaTheme="minorEastAsia"/>
          <w:b/>
          <w:bCs/>
          <w:kern w:val="0"/>
          <w:sz w:val="24"/>
          <w:szCs w:val="24"/>
        </w:rPr>
        <w:t>5.</w:t>
      </w:r>
      <w:r>
        <w:rPr>
          <w:rFonts w:hint="eastAsia"/>
        </w:rPr>
        <w:t xml:space="preserve"> </w:t>
      </w:r>
      <w:r>
        <w:rPr>
          <w:rStyle w:val="21"/>
          <w:rFonts w:hint="eastAsia" w:cs="仿宋" w:asciiTheme="minorEastAsia" w:hAnsiTheme="minorEastAsia" w:eastAsiaTheme="minorEastAsia"/>
          <w:b/>
          <w:bCs/>
          <w:kern w:val="0"/>
          <w:sz w:val="24"/>
          <w:szCs w:val="24"/>
        </w:rPr>
        <w:t>付款方式：</w:t>
      </w:r>
    </w:p>
    <w:p w14:paraId="12CD2D6C">
      <w:pPr>
        <w:spacing w:line="430" w:lineRule="exact"/>
        <w:ind w:firstLine="569" w:firstLineChars="236"/>
        <w:jc w:val="left"/>
        <w:textAlignment w:val="auto"/>
        <w:rPr>
          <w:rStyle w:val="21"/>
          <w:rFonts w:hint="eastAsia" w:cs="仿宋" w:asciiTheme="minorEastAsia" w:hAnsiTheme="minorEastAsia" w:eastAsiaTheme="minorEastAsia"/>
          <w:b/>
          <w:bCs/>
          <w:kern w:val="0"/>
          <w:sz w:val="24"/>
          <w:szCs w:val="24"/>
        </w:rPr>
      </w:pPr>
      <w:r>
        <w:rPr>
          <w:rStyle w:val="21"/>
          <w:rFonts w:hint="eastAsia" w:cs="仿宋" w:asciiTheme="minorEastAsia" w:hAnsiTheme="minorEastAsia" w:eastAsiaTheme="minorEastAsia"/>
          <w:b/>
          <w:bCs/>
          <w:kern w:val="0"/>
          <w:sz w:val="24"/>
          <w:szCs w:val="24"/>
        </w:rPr>
        <w:t>采购资金的支付条件：路灯节能改造完成并经竣工验收合格后，进入养护周期，养护周期十五年。</w:t>
      </w:r>
    </w:p>
    <w:p w14:paraId="405282B2">
      <w:pPr>
        <w:spacing w:line="430" w:lineRule="exact"/>
        <w:ind w:firstLine="569" w:firstLineChars="236"/>
        <w:jc w:val="left"/>
        <w:textAlignment w:val="auto"/>
        <w:rPr>
          <w:rStyle w:val="21"/>
          <w:rFonts w:hint="eastAsia" w:cs="仿宋" w:asciiTheme="minorEastAsia" w:hAnsiTheme="minorEastAsia" w:eastAsiaTheme="minorEastAsia"/>
          <w:b/>
          <w:bCs/>
          <w:kern w:val="0"/>
          <w:sz w:val="24"/>
          <w:szCs w:val="24"/>
        </w:rPr>
      </w:pPr>
      <w:r>
        <w:rPr>
          <w:rStyle w:val="21"/>
          <w:rFonts w:hint="eastAsia" w:cs="仿宋" w:asciiTheme="minorEastAsia" w:hAnsiTheme="minorEastAsia" w:eastAsiaTheme="minorEastAsia"/>
          <w:b/>
          <w:bCs/>
          <w:kern w:val="0"/>
          <w:sz w:val="24"/>
          <w:szCs w:val="24"/>
        </w:rPr>
        <w:t>年度付款金额=【按路灯节能改造的审计价格∕15】+【每年经养护考核后核定的养护费用】</w:t>
      </w:r>
    </w:p>
    <w:p w14:paraId="2F3DB719">
      <w:pPr>
        <w:spacing w:line="430" w:lineRule="exact"/>
        <w:ind w:firstLine="569" w:firstLineChars="236"/>
        <w:jc w:val="left"/>
        <w:textAlignment w:val="auto"/>
        <w:rPr>
          <w:rStyle w:val="21"/>
          <w:rFonts w:hint="eastAsia" w:cs="仿宋" w:asciiTheme="minorEastAsia" w:hAnsiTheme="minorEastAsia" w:eastAsiaTheme="minorEastAsia"/>
          <w:b/>
          <w:bCs/>
          <w:kern w:val="0"/>
          <w:sz w:val="24"/>
          <w:szCs w:val="24"/>
        </w:rPr>
      </w:pPr>
      <w:r>
        <w:rPr>
          <w:rStyle w:val="21"/>
          <w:rFonts w:hint="eastAsia" w:cs="仿宋" w:asciiTheme="minorEastAsia" w:hAnsiTheme="minorEastAsia" w:eastAsiaTheme="minorEastAsia"/>
          <w:b/>
          <w:bCs/>
          <w:kern w:val="0"/>
          <w:sz w:val="24"/>
          <w:szCs w:val="24"/>
        </w:rPr>
        <w:t>付款时间：年度验收合格后，3个月内付款。</w:t>
      </w:r>
    </w:p>
    <w:p w14:paraId="514D1DA3">
      <w:pPr>
        <w:spacing w:line="430" w:lineRule="exact"/>
        <w:ind w:firstLine="569" w:firstLineChars="236"/>
        <w:jc w:val="left"/>
        <w:textAlignment w:val="auto"/>
        <w:rPr>
          <w:rStyle w:val="21"/>
          <w:rFonts w:hint="eastAsia" w:cs="仿宋" w:asciiTheme="minorEastAsia" w:hAnsiTheme="minorEastAsia" w:eastAsiaTheme="minorEastAsia"/>
          <w:b/>
          <w:bCs/>
          <w:kern w:val="0"/>
          <w:sz w:val="24"/>
          <w:szCs w:val="24"/>
        </w:rPr>
      </w:pPr>
      <w:r>
        <w:rPr>
          <w:rStyle w:val="21"/>
          <w:rFonts w:hint="eastAsia" w:cs="仿宋" w:asciiTheme="minorEastAsia" w:hAnsiTheme="minorEastAsia" w:eastAsiaTheme="minorEastAsia"/>
          <w:b/>
          <w:bCs/>
          <w:kern w:val="0"/>
          <w:sz w:val="24"/>
          <w:szCs w:val="24"/>
        </w:rPr>
        <w:t>注：付款前乙方需向甲方提供有效发票。</w:t>
      </w:r>
    </w:p>
    <w:p w14:paraId="45F60B2D">
      <w:pPr>
        <w:spacing w:line="430" w:lineRule="exact"/>
        <w:ind w:firstLine="569" w:firstLineChars="236"/>
        <w:jc w:val="left"/>
        <w:textAlignment w:val="auto"/>
        <w:rPr>
          <w:rStyle w:val="21"/>
          <w:rFonts w:hint="eastAsia" w:cs="仿宋" w:asciiTheme="minorEastAsia" w:hAnsiTheme="minorEastAsia" w:eastAsiaTheme="minorEastAsia"/>
          <w:b/>
          <w:bCs/>
          <w:kern w:val="0"/>
          <w:sz w:val="24"/>
          <w:szCs w:val="24"/>
          <w:lang w:val="en-US" w:eastAsia="zh-CN"/>
        </w:rPr>
      </w:pPr>
      <w:r>
        <w:rPr>
          <w:rStyle w:val="21"/>
          <w:rFonts w:hint="eastAsia" w:cs="仿宋" w:asciiTheme="minorEastAsia" w:hAnsiTheme="minorEastAsia" w:eastAsiaTheme="minorEastAsia"/>
          <w:b/>
          <w:bCs/>
          <w:kern w:val="0"/>
          <w:sz w:val="24"/>
          <w:szCs w:val="24"/>
        </w:rPr>
        <w:t>年度养护验收条件：采购人委托有资质的第三方对路灯进行检测，如未合格，中标人立即整改，整改后</w:t>
      </w:r>
      <w:r>
        <w:rPr>
          <w:rStyle w:val="21"/>
          <w:rFonts w:hint="eastAsia" w:cs="仿宋" w:asciiTheme="minorEastAsia" w:hAnsiTheme="minorEastAsia" w:eastAsiaTheme="minorEastAsia"/>
          <w:b/>
          <w:bCs/>
          <w:kern w:val="0"/>
          <w:sz w:val="24"/>
          <w:szCs w:val="24"/>
          <w:lang w:val="en-US" w:eastAsia="zh-CN"/>
        </w:rPr>
        <w:t>采购人再次</w:t>
      </w:r>
      <w:r>
        <w:rPr>
          <w:rStyle w:val="21"/>
          <w:rFonts w:hint="eastAsia" w:cs="仿宋" w:asciiTheme="minorEastAsia" w:hAnsiTheme="minorEastAsia" w:eastAsiaTheme="minorEastAsia"/>
          <w:b/>
          <w:bCs/>
          <w:kern w:val="0"/>
          <w:sz w:val="24"/>
          <w:szCs w:val="24"/>
        </w:rPr>
        <w:t>委托有资质的第三方进行检测</w:t>
      </w:r>
      <w:r>
        <w:rPr>
          <w:rStyle w:val="21"/>
          <w:rFonts w:hint="eastAsia" w:cs="仿宋" w:asciiTheme="minorEastAsia" w:hAnsiTheme="minorEastAsia" w:eastAsiaTheme="minorEastAsia"/>
          <w:b/>
          <w:bCs/>
          <w:kern w:val="0"/>
          <w:sz w:val="24"/>
          <w:szCs w:val="24"/>
          <w:lang w:eastAsia="zh-CN"/>
        </w:rPr>
        <w:t>，</w:t>
      </w:r>
      <w:r>
        <w:rPr>
          <w:rStyle w:val="21"/>
          <w:rFonts w:hint="eastAsia" w:cs="仿宋" w:asciiTheme="minorEastAsia" w:hAnsiTheme="minorEastAsia" w:eastAsiaTheme="minorEastAsia"/>
          <w:b/>
          <w:bCs/>
          <w:kern w:val="0"/>
          <w:sz w:val="24"/>
          <w:szCs w:val="24"/>
          <w:lang w:val="en-US" w:eastAsia="zh-CN"/>
        </w:rPr>
        <w:t>中标人</w:t>
      </w:r>
      <w:r>
        <w:rPr>
          <w:rStyle w:val="21"/>
          <w:rFonts w:hint="eastAsia" w:cs="仿宋" w:asciiTheme="minorEastAsia" w:hAnsiTheme="minorEastAsia" w:eastAsiaTheme="minorEastAsia"/>
          <w:b/>
          <w:bCs/>
          <w:kern w:val="0"/>
          <w:sz w:val="24"/>
          <w:szCs w:val="24"/>
        </w:rPr>
        <w:t>承担相应费用，</w:t>
      </w:r>
      <w:r>
        <w:rPr>
          <w:rStyle w:val="21"/>
          <w:rFonts w:hint="eastAsia" w:cs="仿宋" w:asciiTheme="minorEastAsia" w:hAnsiTheme="minorEastAsia" w:eastAsiaTheme="minorEastAsia"/>
          <w:b/>
          <w:bCs/>
          <w:kern w:val="0"/>
          <w:sz w:val="24"/>
          <w:szCs w:val="24"/>
          <w:lang w:val="en-US" w:eastAsia="zh-CN"/>
        </w:rPr>
        <w:t>直至项目验收合格，中标人</w:t>
      </w:r>
      <w:r>
        <w:rPr>
          <w:rStyle w:val="21"/>
          <w:rFonts w:hint="eastAsia" w:cs="仿宋" w:asciiTheme="minorEastAsia" w:hAnsiTheme="minorEastAsia" w:eastAsiaTheme="minorEastAsia"/>
          <w:b/>
          <w:bCs/>
          <w:kern w:val="0"/>
          <w:sz w:val="24"/>
          <w:szCs w:val="24"/>
        </w:rPr>
        <w:t>向采购人提交合格的检测报告后方可进入结算。</w:t>
      </w:r>
      <w:r>
        <w:rPr>
          <w:rStyle w:val="21"/>
          <w:rFonts w:hint="eastAsia" w:cs="仿宋" w:asciiTheme="minorEastAsia" w:hAnsiTheme="minorEastAsia" w:eastAsiaTheme="minorEastAsia"/>
          <w:b/>
          <w:bCs/>
          <w:kern w:val="0"/>
          <w:sz w:val="24"/>
          <w:szCs w:val="24"/>
          <w:lang w:val="en-US" w:eastAsia="zh-CN"/>
        </w:rPr>
        <w:t xml:space="preserve"> </w:t>
      </w:r>
    </w:p>
    <w:p w14:paraId="639EC90A">
      <w:pPr>
        <w:spacing w:line="430" w:lineRule="exact"/>
        <w:ind w:firstLine="569" w:firstLineChars="236"/>
        <w:jc w:val="left"/>
        <w:textAlignment w:val="auto"/>
        <w:rPr>
          <w:rStyle w:val="21"/>
          <w:rFonts w:hint="eastAsia" w:ascii="宋体" w:hAnsi="宋体" w:cs="宋体"/>
          <w:b/>
          <w:bCs/>
          <w:kern w:val="0"/>
          <w:sz w:val="24"/>
          <w:szCs w:val="24"/>
        </w:rPr>
      </w:pPr>
      <w:r>
        <w:rPr>
          <w:rStyle w:val="21"/>
          <w:rFonts w:hint="eastAsia" w:ascii="宋体" w:hAnsi="宋体" w:cs="宋体"/>
          <w:b/>
          <w:bCs/>
          <w:kern w:val="0"/>
          <w:sz w:val="24"/>
          <w:szCs w:val="24"/>
        </w:rPr>
        <w:t>6.报价单位须提供营业执照、市场询价表及相关材料。</w:t>
      </w:r>
    </w:p>
    <w:p w14:paraId="748602BF">
      <w:pPr>
        <w:spacing w:line="430" w:lineRule="exact"/>
        <w:ind w:firstLine="566" w:firstLineChars="236"/>
        <w:jc w:val="left"/>
        <w:textAlignment w:val="auto"/>
        <w:rPr>
          <w:rStyle w:val="21"/>
          <w:rFonts w:hint="eastAsia" w:cs="仿宋" w:asciiTheme="minorEastAsia" w:hAnsiTheme="minorEastAsia" w:eastAsiaTheme="minorEastAsia"/>
          <w:kern w:val="0"/>
          <w:sz w:val="24"/>
          <w:szCs w:val="24"/>
        </w:rPr>
      </w:pPr>
      <w:r>
        <w:rPr>
          <w:rStyle w:val="21"/>
          <w:rFonts w:hint="eastAsia" w:ascii="宋体" w:hAnsi="宋体" w:cs="宋体"/>
          <w:kern w:val="0"/>
          <w:sz w:val="24"/>
          <w:szCs w:val="24"/>
        </w:rPr>
        <w:t>7.其他：（1）请报价单位认真核算、如实报价，如发现虚假报价的，该单位今后将被列入采购单位黑名单；（2）本次报价仅作为市场调研用，因此价格仅供参考；（3）本次调研询价不接收质疑函，只接收对本项目的建议。</w:t>
      </w:r>
    </w:p>
    <w:p w14:paraId="59080345">
      <w:pPr>
        <w:pStyle w:val="3"/>
        <w:spacing w:after="0" w:line="440" w:lineRule="exact"/>
        <w:rPr>
          <w:rStyle w:val="21"/>
          <w:rFonts w:hint="eastAsia" w:cs="仿宋" w:asciiTheme="minorEastAsia" w:hAnsiTheme="minorEastAsia" w:eastAsiaTheme="minorEastAsia"/>
          <w:kern w:val="0"/>
          <w:sz w:val="24"/>
          <w:szCs w:val="24"/>
        </w:rPr>
      </w:pPr>
    </w:p>
    <w:p w14:paraId="766EDCB0">
      <w:pPr>
        <w:pStyle w:val="3"/>
        <w:spacing w:after="0" w:line="440" w:lineRule="exact"/>
      </w:pPr>
    </w:p>
    <w:p w14:paraId="253A40F5">
      <w:pPr>
        <w:spacing w:line="440" w:lineRule="exact"/>
        <w:rPr>
          <w:rFonts w:hint="eastAsia" w:ascii="宋体" w:hAnsi="宋体" w:cs="Courier New"/>
          <w:sz w:val="24"/>
        </w:rPr>
      </w:pPr>
    </w:p>
    <w:p w14:paraId="3BDED346">
      <w:pPr>
        <w:widowControl w:val="0"/>
        <w:adjustRightInd w:val="0"/>
        <w:snapToGrid w:val="0"/>
        <w:spacing w:line="440" w:lineRule="exact"/>
        <w:jc w:val="right"/>
        <w:textAlignment w:val="auto"/>
        <w:rPr>
          <w:rStyle w:val="21"/>
          <w:rFonts w:hint="eastAsia" w:cs="仿宋" w:asciiTheme="minorEastAsia" w:hAnsiTheme="minorEastAsia" w:eastAsiaTheme="minorEastAsia"/>
          <w:kern w:val="0"/>
          <w:sz w:val="24"/>
          <w:szCs w:val="24"/>
        </w:rPr>
      </w:pPr>
      <w:r>
        <w:rPr>
          <w:rStyle w:val="21"/>
          <w:rFonts w:hint="eastAsia" w:cs="仿宋" w:asciiTheme="minorEastAsia" w:hAnsiTheme="minorEastAsia" w:eastAsiaTheme="minorEastAsia"/>
          <w:kern w:val="0"/>
          <w:sz w:val="24"/>
          <w:szCs w:val="24"/>
        </w:rPr>
        <w:t>启东高新技术产业开发区管理委员会</w:t>
      </w:r>
    </w:p>
    <w:p w14:paraId="074B5D8C">
      <w:pPr>
        <w:widowControl w:val="0"/>
        <w:adjustRightInd w:val="0"/>
        <w:snapToGrid w:val="0"/>
        <w:spacing w:line="440" w:lineRule="exact"/>
        <w:jc w:val="right"/>
        <w:textAlignment w:val="auto"/>
        <w:rPr>
          <w:rFonts w:hint="eastAsia" w:ascii="宋体" w:hAnsi="宋体" w:cs="Courier New"/>
          <w:sz w:val="24"/>
        </w:rPr>
      </w:pPr>
      <w:r>
        <w:rPr>
          <w:rFonts w:hint="eastAsia" w:ascii="宋体" w:hAnsi="宋体" w:cs="Courier New"/>
          <w:sz w:val="24"/>
        </w:rPr>
        <w:t>202</w:t>
      </w:r>
      <w:r>
        <w:rPr>
          <w:rFonts w:hint="eastAsia" w:ascii="宋体" w:hAnsi="宋体" w:cs="Courier New"/>
          <w:sz w:val="24"/>
          <w:lang w:val="en-US" w:eastAsia="zh-CN"/>
        </w:rPr>
        <w:t>6</w:t>
      </w:r>
      <w:r>
        <w:rPr>
          <w:rFonts w:hint="eastAsia" w:ascii="宋体" w:hAnsi="宋体" w:cs="Courier New"/>
          <w:sz w:val="24"/>
        </w:rPr>
        <w:t>年</w:t>
      </w:r>
      <w:r>
        <w:rPr>
          <w:rFonts w:hint="eastAsia" w:ascii="宋体" w:hAnsi="宋体" w:cs="Courier New"/>
          <w:sz w:val="24"/>
          <w:lang w:val="en-US" w:eastAsia="zh-CN"/>
        </w:rPr>
        <w:t>1</w:t>
      </w:r>
      <w:r>
        <w:rPr>
          <w:rFonts w:hint="eastAsia" w:ascii="宋体" w:hAnsi="宋体" w:cs="Courier New"/>
          <w:sz w:val="24"/>
        </w:rPr>
        <w:t>月</w:t>
      </w:r>
      <w:r>
        <w:rPr>
          <w:rFonts w:hint="eastAsia" w:ascii="宋体" w:hAnsi="宋体" w:cs="Courier New"/>
          <w:sz w:val="24"/>
          <w:lang w:val="en-US" w:eastAsia="zh-CN"/>
        </w:rPr>
        <w:t>7</w:t>
      </w:r>
      <w:r>
        <w:rPr>
          <w:rFonts w:hint="eastAsia" w:ascii="宋体" w:hAnsi="宋体" w:cs="Courier New"/>
          <w:sz w:val="24"/>
        </w:rPr>
        <w:t>日</w:t>
      </w:r>
    </w:p>
    <w:p w14:paraId="5BB94E92">
      <w:pPr>
        <w:spacing w:line="440" w:lineRule="exact"/>
        <w:rPr>
          <w:rFonts w:hint="eastAsia" w:ascii="宋体" w:hAnsi="宋体" w:cs="宋体"/>
          <w:shd w:val="clear" w:color="auto" w:fill="FFFFFF"/>
        </w:rPr>
      </w:pPr>
      <w:r>
        <w:rPr>
          <w:rFonts w:hint="eastAsia" w:ascii="宋体" w:hAnsi="宋体" w:cs="宋体"/>
          <w:shd w:val="clear" w:color="auto" w:fill="FFFFFF"/>
        </w:rPr>
        <w:br w:type="page"/>
      </w:r>
    </w:p>
    <w:p w14:paraId="37B68BCB">
      <w:pPr>
        <w:pStyle w:val="4"/>
        <w:spacing w:line="440" w:lineRule="exact"/>
        <w:rPr>
          <w:rFonts w:hint="eastAsia" w:ascii="宋体" w:hAnsi="宋体"/>
          <w:b/>
          <w:bCs/>
          <w:sz w:val="32"/>
          <w:szCs w:val="32"/>
        </w:rPr>
      </w:pPr>
      <w:r>
        <w:rPr>
          <w:rFonts w:hint="eastAsia" w:ascii="宋体" w:hAnsi="宋体" w:eastAsia="宋体" w:cs="宋体"/>
          <w:shd w:val="clear" w:color="auto" w:fill="FFFFFF"/>
        </w:rPr>
        <w:t>附件1:</w:t>
      </w:r>
    </w:p>
    <w:p w14:paraId="19E4CC6F">
      <w:pPr>
        <w:spacing w:line="440" w:lineRule="exact"/>
        <w:jc w:val="center"/>
        <w:rPr>
          <w:rFonts w:hint="eastAsia" w:ascii="宋体" w:hAnsi="宋体"/>
          <w:b/>
          <w:bCs/>
          <w:sz w:val="32"/>
          <w:szCs w:val="32"/>
        </w:rPr>
      </w:pPr>
      <w:r>
        <w:rPr>
          <w:rFonts w:hint="eastAsia" w:ascii="宋体" w:hAnsi="宋体"/>
          <w:b/>
          <w:bCs/>
          <w:sz w:val="32"/>
          <w:szCs w:val="32"/>
        </w:rPr>
        <w:t>启东高新区（近海镇）路灯节能改造及养护服务采购项目</w:t>
      </w:r>
    </w:p>
    <w:p w14:paraId="404556BA">
      <w:pPr>
        <w:spacing w:line="440" w:lineRule="exact"/>
        <w:jc w:val="center"/>
        <w:rPr>
          <w:rFonts w:hint="eastAsia" w:ascii="宋体" w:hAnsi="宋体"/>
          <w:b/>
          <w:bCs/>
          <w:sz w:val="32"/>
          <w:szCs w:val="32"/>
        </w:rPr>
      </w:pPr>
      <w:r>
        <w:rPr>
          <w:rFonts w:hint="eastAsia" w:ascii="宋体" w:hAnsi="宋体"/>
          <w:b/>
          <w:bCs/>
          <w:sz w:val="32"/>
          <w:szCs w:val="32"/>
        </w:rPr>
        <w:t>市场询价表</w:t>
      </w:r>
    </w:p>
    <w:p w14:paraId="7DCA0591">
      <w:pPr>
        <w:tabs>
          <w:tab w:val="left" w:pos="5325"/>
        </w:tabs>
        <w:snapToGrid w:val="0"/>
        <w:spacing w:line="440" w:lineRule="exact"/>
        <w:contextualSpacing/>
        <w:rPr>
          <w:rFonts w:hint="eastAsia" w:ascii="宋体" w:hAnsi="宋体"/>
          <w:b/>
          <w:color w:val="000000"/>
          <w:sz w:val="28"/>
          <w:szCs w:val="28"/>
        </w:rPr>
      </w:pPr>
    </w:p>
    <w:tbl>
      <w:tblPr>
        <w:tblStyle w:val="12"/>
        <w:tblW w:w="11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325"/>
        <w:gridCol w:w="2950"/>
        <w:gridCol w:w="660"/>
        <w:gridCol w:w="675"/>
        <w:gridCol w:w="880"/>
        <w:gridCol w:w="845"/>
        <w:gridCol w:w="1140"/>
        <w:gridCol w:w="1155"/>
        <w:gridCol w:w="870"/>
      </w:tblGrid>
      <w:tr w14:paraId="09748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74" w:type="dxa"/>
            <w:noWrap w:val="0"/>
            <w:vAlign w:val="center"/>
          </w:tcPr>
          <w:p w14:paraId="3EA57035">
            <w:pPr>
              <w:pStyle w:val="3"/>
              <w:widowControl/>
              <w:jc w:val="center"/>
              <w:textAlignment w:val="baseline"/>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类型</w:t>
            </w:r>
          </w:p>
        </w:tc>
        <w:tc>
          <w:tcPr>
            <w:tcW w:w="1325" w:type="dxa"/>
            <w:noWrap w:val="0"/>
            <w:vAlign w:val="center"/>
          </w:tcPr>
          <w:p w14:paraId="0D563605">
            <w:pPr>
              <w:pStyle w:val="3"/>
              <w:widowControl/>
              <w:jc w:val="center"/>
              <w:textAlignment w:val="baseline"/>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材料名称</w:t>
            </w:r>
          </w:p>
        </w:tc>
        <w:tc>
          <w:tcPr>
            <w:tcW w:w="2950" w:type="dxa"/>
            <w:noWrap w:val="0"/>
            <w:vAlign w:val="center"/>
          </w:tcPr>
          <w:p w14:paraId="06A75C29">
            <w:pPr>
              <w:pStyle w:val="3"/>
              <w:widowControl/>
              <w:jc w:val="center"/>
              <w:textAlignment w:val="baseline"/>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描述</w:t>
            </w:r>
          </w:p>
        </w:tc>
        <w:tc>
          <w:tcPr>
            <w:tcW w:w="660" w:type="dxa"/>
            <w:noWrap w:val="0"/>
            <w:vAlign w:val="center"/>
          </w:tcPr>
          <w:p w14:paraId="0EF34184">
            <w:pPr>
              <w:pStyle w:val="3"/>
              <w:widowControl/>
              <w:jc w:val="center"/>
              <w:textAlignment w:val="baseline"/>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单位</w:t>
            </w:r>
          </w:p>
        </w:tc>
        <w:tc>
          <w:tcPr>
            <w:tcW w:w="675" w:type="dxa"/>
            <w:noWrap w:val="0"/>
            <w:vAlign w:val="center"/>
          </w:tcPr>
          <w:p w14:paraId="590B1ABD">
            <w:pPr>
              <w:pStyle w:val="3"/>
              <w:widowControl/>
              <w:jc w:val="center"/>
              <w:textAlignment w:val="baseline"/>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数量</w:t>
            </w:r>
          </w:p>
        </w:tc>
        <w:tc>
          <w:tcPr>
            <w:tcW w:w="880" w:type="dxa"/>
            <w:noWrap w:val="0"/>
            <w:vAlign w:val="center"/>
          </w:tcPr>
          <w:p w14:paraId="36AD9DD1">
            <w:pPr>
              <w:pStyle w:val="3"/>
              <w:widowControl/>
              <w:jc w:val="center"/>
              <w:textAlignment w:val="baseline"/>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品牌</w:t>
            </w:r>
          </w:p>
        </w:tc>
        <w:tc>
          <w:tcPr>
            <w:tcW w:w="845" w:type="dxa"/>
            <w:noWrap w:val="0"/>
            <w:vAlign w:val="center"/>
          </w:tcPr>
          <w:p w14:paraId="6CC597D6">
            <w:pPr>
              <w:pStyle w:val="3"/>
              <w:widowControl/>
              <w:jc w:val="center"/>
              <w:textAlignment w:val="baseline"/>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生产厂家</w:t>
            </w:r>
          </w:p>
        </w:tc>
        <w:tc>
          <w:tcPr>
            <w:tcW w:w="1140" w:type="dxa"/>
            <w:noWrap w:val="0"/>
            <w:vAlign w:val="center"/>
          </w:tcPr>
          <w:p w14:paraId="730C7CBF">
            <w:pPr>
              <w:pStyle w:val="3"/>
              <w:widowControl/>
              <w:jc w:val="center"/>
              <w:textAlignment w:val="baseline"/>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全费用综合单价（元）</w:t>
            </w:r>
          </w:p>
        </w:tc>
        <w:tc>
          <w:tcPr>
            <w:tcW w:w="1155" w:type="dxa"/>
            <w:noWrap w:val="0"/>
            <w:vAlign w:val="center"/>
          </w:tcPr>
          <w:p w14:paraId="74DF2F4F">
            <w:pPr>
              <w:pStyle w:val="3"/>
              <w:widowControl/>
              <w:jc w:val="center"/>
              <w:textAlignment w:val="baseline"/>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全费用综合合价（元）</w:t>
            </w:r>
          </w:p>
        </w:tc>
        <w:tc>
          <w:tcPr>
            <w:tcW w:w="870" w:type="dxa"/>
            <w:noWrap w:val="0"/>
            <w:vAlign w:val="center"/>
          </w:tcPr>
          <w:p w14:paraId="16D26877">
            <w:pPr>
              <w:pStyle w:val="3"/>
              <w:widowControl/>
              <w:jc w:val="center"/>
              <w:textAlignment w:val="baseline"/>
              <w:rPr>
                <w:rFonts w:hint="eastAsia" w:ascii="宋体" w:hAnsi="宋体" w:eastAsia="宋体" w:cs="宋体"/>
                <w:b/>
                <w:bCs/>
                <w:color w:val="auto"/>
                <w:kern w:val="2"/>
                <w:sz w:val="21"/>
                <w:szCs w:val="21"/>
                <w:lang w:val="en-US" w:eastAsia="zh-CN"/>
              </w:rPr>
            </w:pPr>
            <w:r>
              <w:rPr>
                <w:rFonts w:hint="eastAsia" w:ascii="宋体" w:hAnsi="宋体" w:eastAsia="宋体" w:cs="宋体"/>
                <w:b/>
                <w:bCs/>
                <w:color w:val="auto"/>
                <w:kern w:val="2"/>
                <w:sz w:val="21"/>
                <w:szCs w:val="21"/>
                <w:lang w:val="en-US" w:eastAsia="zh-CN"/>
              </w:rPr>
              <w:t>是否为主要标的</w:t>
            </w:r>
          </w:p>
        </w:tc>
      </w:tr>
      <w:tr w14:paraId="6E01D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9" w:hRule="atLeast"/>
          <w:jc w:val="center"/>
        </w:trPr>
        <w:tc>
          <w:tcPr>
            <w:tcW w:w="774" w:type="dxa"/>
            <w:vMerge w:val="restart"/>
            <w:noWrap w:val="0"/>
            <w:vAlign w:val="center"/>
          </w:tcPr>
          <w:p w14:paraId="45F0450E">
            <w:pPr>
              <w:jc w:val="center"/>
              <w:rPr>
                <w:rFonts w:hint="eastAsia" w:ascii="宋体" w:hAnsi="宋体" w:eastAsia="宋体" w:cs="宋体"/>
                <w:color w:val="auto"/>
              </w:rPr>
            </w:pPr>
            <w:r>
              <w:rPr>
                <w:rFonts w:hint="eastAsia" w:ascii="宋体" w:hAnsi="宋体" w:eastAsia="宋体" w:cs="宋体"/>
                <w:color w:val="auto"/>
                <w:sz w:val="15"/>
                <w:szCs w:val="15"/>
              </w:rPr>
              <w:t>节能改造部分</w:t>
            </w:r>
          </w:p>
        </w:tc>
        <w:tc>
          <w:tcPr>
            <w:tcW w:w="1325" w:type="dxa"/>
            <w:noWrap w:val="0"/>
            <w:vAlign w:val="center"/>
          </w:tcPr>
          <w:p w14:paraId="7E8E64DB">
            <w:pPr>
              <w:jc w:val="center"/>
              <w:rPr>
                <w:rFonts w:hint="eastAsia" w:ascii="宋体" w:hAnsi="宋体" w:eastAsia="宋体" w:cs="宋体"/>
                <w:color w:val="auto"/>
                <w:lang w:val="zh-CN"/>
              </w:rPr>
            </w:pPr>
            <w:r>
              <w:rPr>
                <w:rFonts w:hint="eastAsia" w:ascii="宋体" w:hAnsi="宋体" w:eastAsia="宋体" w:cs="宋体"/>
                <w:color w:val="auto"/>
              </w:rPr>
              <w:t>120W太阳能路灯</w:t>
            </w:r>
          </w:p>
        </w:tc>
        <w:tc>
          <w:tcPr>
            <w:tcW w:w="2950" w:type="dxa"/>
            <w:noWrap w:val="0"/>
            <w:vAlign w:val="center"/>
          </w:tcPr>
          <w:p w14:paraId="074F5A8E">
            <w:pPr>
              <w:rPr>
                <w:rFonts w:hint="eastAsia" w:ascii="宋体" w:hAnsi="宋体" w:eastAsia="宋体" w:cs="宋体"/>
                <w:color w:val="auto"/>
              </w:rPr>
            </w:pPr>
            <w:r>
              <w:rPr>
                <w:rFonts w:hint="eastAsia" w:ascii="宋体" w:hAnsi="宋体" w:eastAsia="宋体" w:cs="宋体"/>
                <w:color w:val="auto"/>
              </w:rPr>
              <w:t>1、适用于10m普通路灯</w:t>
            </w:r>
          </w:p>
          <w:p w14:paraId="3F246DA4">
            <w:pPr>
              <w:rPr>
                <w:rFonts w:hint="eastAsia" w:ascii="宋体" w:hAnsi="宋体" w:eastAsia="宋体" w:cs="宋体"/>
                <w:color w:val="auto"/>
              </w:rPr>
            </w:pPr>
            <w:r>
              <w:rPr>
                <w:rFonts w:hint="eastAsia" w:ascii="宋体" w:hAnsi="宋体" w:eastAsia="宋体" w:cs="宋体"/>
                <w:color w:val="auto"/>
              </w:rPr>
              <w:t>2、利用旧灯杆，制作适配的安装支架</w:t>
            </w:r>
          </w:p>
          <w:p w14:paraId="492120A1">
            <w:pPr>
              <w:rPr>
                <w:rFonts w:hint="eastAsia" w:ascii="宋体" w:hAnsi="宋体" w:eastAsia="宋体" w:cs="宋体"/>
                <w:color w:val="auto"/>
              </w:rPr>
            </w:pPr>
            <w:r>
              <w:rPr>
                <w:rFonts w:hint="eastAsia" w:ascii="宋体" w:hAnsi="宋体" w:eastAsia="宋体" w:cs="宋体"/>
                <w:color w:val="auto"/>
              </w:rPr>
              <w:t>3、改造内容包含：太阳能光伏板、蓄电池、灯具、控制器以及加装太阳能系统后旧灯杆、路灯基础采取的必要的加固措施（太阳能路灯产品的具体参数详见招标文件中详细规格参数）</w:t>
            </w:r>
          </w:p>
          <w:p w14:paraId="6C5F2BDC">
            <w:pPr>
              <w:rPr>
                <w:rFonts w:hint="eastAsia" w:ascii="宋体" w:hAnsi="宋体" w:eastAsia="宋体" w:cs="宋体"/>
                <w:color w:val="auto"/>
              </w:rPr>
            </w:pPr>
            <w:r>
              <w:rPr>
                <w:rFonts w:hint="eastAsia" w:ascii="宋体" w:hAnsi="宋体" w:eastAsia="宋体" w:cs="宋体"/>
                <w:color w:val="auto"/>
              </w:rPr>
              <w:t>4、原有路灯的灯杆、基础维修等，均包含在综合报价里</w:t>
            </w:r>
          </w:p>
          <w:p w14:paraId="6F261F16">
            <w:pPr>
              <w:rPr>
                <w:rFonts w:hint="eastAsia" w:ascii="宋体" w:hAnsi="宋体" w:eastAsia="宋体" w:cs="宋体"/>
                <w:color w:val="auto"/>
              </w:rPr>
            </w:pPr>
            <w:r>
              <w:rPr>
                <w:rFonts w:hint="eastAsia" w:ascii="宋体" w:hAnsi="宋体" w:eastAsia="宋体" w:cs="宋体"/>
                <w:color w:val="auto"/>
              </w:rPr>
              <w:t>5、拆除后的材料按采购人要求在指定位置堆放整齐</w:t>
            </w:r>
          </w:p>
        </w:tc>
        <w:tc>
          <w:tcPr>
            <w:tcW w:w="660" w:type="dxa"/>
            <w:noWrap w:val="0"/>
            <w:vAlign w:val="center"/>
          </w:tcPr>
          <w:p w14:paraId="10CC6A92">
            <w:pPr>
              <w:jc w:val="center"/>
              <w:rPr>
                <w:rFonts w:hint="eastAsia" w:ascii="宋体" w:hAnsi="宋体" w:eastAsia="宋体" w:cs="宋体"/>
                <w:color w:val="auto"/>
              </w:rPr>
            </w:pPr>
            <w:r>
              <w:rPr>
                <w:rFonts w:hint="eastAsia" w:ascii="宋体" w:hAnsi="宋体" w:eastAsia="宋体" w:cs="宋体"/>
                <w:color w:val="auto"/>
              </w:rPr>
              <w:t>盏</w:t>
            </w:r>
          </w:p>
        </w:tc>
        <w:tc>
          <w:tcPr>
            <w:tcW w:w="675" w:type="dxa"/>
            <w:noWrap w:val="0"/>
            <w:vAlign w:val="center"/>
          </w:tcPr>
          <w:p w14:paraId="1A8CBC2C">
            <w:pPr>
              <w:jc w:val="center"/>
              <w:rPr>
                <w:rFonts w:hint="eastAsia" w:ascii="宋体" w:hAnsi="宋体" w:eastAsia="宋体" w:cs="宋体"/>
                <w:color w:val="auto"/>
              </w:rPr>
            </w:pPr>
            <w:r>
              <w:rPr>
                <w:rFonts w:hint="eastAsia" w:ascii="宋体" w:hAnsi="宋体" w:eastAsia="宋体" w:cs="宋体"/>
                <w:color w:val="auto"/>
              </w:rPr>
              <w:t>2052</w:t>
            </w:r>
          </w:p>
        </w:tc>
        <w:tc>
          <w:tcPr>
            <w:tcW w:w="880" w:type="dxa"/>
            <w:noWrap w:val="0"/>
            <w:vAlign w:val="center"/>
          </w:tcPr>
          <w:p w14:paraId="10582B6C">
            <w:pPr>
              <w:jc w:val="center"/>
              <w:rPr>
                <w:rFonts w:hint="eastAsia" w:ascii="宋体" w:hAnsi="宋体" w:eastAsia="宋体" w:cs="宋体"/>
                <w:color w:val="auto"/>
              </w:rPr>
            </w:pPr>
          </w:p>
        </w:tc>
        <w:tc>
          <w:tcPr>
            <w:tcW w:w="845" w:type="dxa"/>
            <w:noWrap w:val="0"/>
            <w:vAlign w:val="center"/>
          </w:tcPr>
          <w:p w14:paraId="463A8294">
            <w:pPr>
              <w:jc w:val="center"/>
              <w:rPr>
                <w:rFonts w:hint="eastAsia" w:ascii="宋体" w:hAnsi="宋体" w:eastAsia="宋体" w:cs="宋体"/>
                <w:color w:val="auto"/>
              </w:rPr>
            </w:pPr>
          </w:p>
        </w:tc>
        <w:tc>
          <w:tcPr>
            <w:tcW w:w="1140" w:type="dxa"/>
            <w:noWrap w:val="0"/>
            <w:vAlign w:val="center"/>
          </w:tcPr>
          <w:p w14:paraId="3095992D">
            <w:pPr>
              <w:jc w:val="center"/>
              <w:rPr>
                <w:rFonts w:hint="eastAsia" w:ascii="宋体" w:hAnsi="宋体" w:eastAsia="宋体" w:cs="宋体"/>
                <w:color w:val="auto"/>
                <w:lang w:val="zh-CN"/>
              </w:rPr>
            </w:pPr>
          </w:p>
        </w:tc>
        <w:tc>
          <w:tcPr>
            <w:tcW w:w="1155" w:type="dxa"/>
            <w:noWrap w:val="0"/>
            <w:vAlign w:val="center"/>
          </w:tcPr>
          <w:p w14:paraId="009ADDBE">
            <w:pPr>
              <w:jc w:val="center"/>
              <w:rPr>
                <w:rFonts w:hint="eastAsia" w:ascii="宋体" w:hAnsi="宋体" w:eastAsia="宋体" w:cs="宋体"/>
                <w:color w:val="auto"/>
                <w:lang w:val="zh-CN"/>
              </w:rPr>
            </w:pPr>
          </w:p>
        </w:tc>
        <w:tc>
          <w:tcPr>
            <w:tcW w:w="870" w:type="dxa"/>
            <w:noWrap w:val="0"/>
            <w:vAlign w:val="center"/>
          </w:tcPr>
          <w:p w14:paraId="3E26B730">
            <w:pPr>
              <w:jc w:val="center"/>
              <w:rPr>
                <w:rFonts w:hint="eastAsia" w:ascii="宋体" w:hAnsi="宋体" w:eastAsia="宋体" w:cs="宋体"/>
                <w:color w:val="auto"/>
                <w:lang w:val="zh-CN"/>
              </w:rPr>
            </w:pPr>
            <w:r>
              <w:rPr>
                <w:rFonts w:hint="eastAsia" w:ascii="宋体" w:hAnsi="宋体" w:eastAsia="宋体" w:cs="宋体"/>
                <w:color w:val="auto"/>
                <w:lang w:val="zh-CN"/>
              </w:rPr>
              <w:t>是</w:t>
            </w:r>
          </w:p>
        </w:tc>
      </w:tr>
      <w:tr w14:paraId="18FE2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9" w:hRule="atLeast"/>
          <w:jc w:val="center"/>
        </w:trPr>
        <w:tc>
          <w:tcPr>
            <w:tcW w:w="774" w:type="dxa"/>
            <w:vMerge w:val="continue"/>
            <w:noWrap w:val="0"/>
            <w:vAlign w:val="center"/>
          </w:tcPr>
          <w:p w14:paraId="2A154073">
            <w:pPr>
              <w:jc w:val="center"/>
              <w:rPr>
                <w:rFonts w:hint="eastAsia" w:ascii="宋体" w:hAnsi="宋体" w:eastAsia="宋体" w:cs="宋体"/>
                <w:color w:val="auto"/>
              </w:rPr>
            </w:pPr>
          </w:p>
        </w:tc>
        <w:tc>
          <w:tcPr>
            <w:tcW w:w="1325" w:type="dxa"/>
            <w:noWrap w:val="0"/>
            <w:vAlign w:val="center"/>
          </w:tcPr>
          <w:p w14:paraId="7D7C8BA4">
            <w:pPr>
              <w:jc w:val="center"/>
              <w:rPr>
                <w:rFonts w:hint="eastAsia" w:ascii="宋体" w:hAnsi="宋体" w:eastAsia="宋体" w:cs="宋体"/>
                <w:color w:val="auto"/>
                <w:lang w:val="zh-CN"/>
              </w:rPr>
            </w:pPr>
            <w:r>
              <w:rPr>
                <w:rFonts w:hint="eastAsia" w:ascii="宋体" w:hAnsi="宋体" w:eastAsia="宋体" w:cs="宋体"/>
                <w:color w:val="auto"/>
              </w:rPr>
              <w:t>60W太阳能路灯</w:t>
            </w:r>
          </w:p>
        </w:tc>
        <w:tc>
          <w:tcPr>
            <w:tcW w:w="2950" w:type="dxa"/>
            <w:noWrap w:val="0"/>
            <w:vAlign w:val="center"/>
          </w:tcPr>
          <w:p w14:paraId="06213A2B">
            <w:pPr>
              <w:rPr>
                <w:rFonts w:hint="eastAsia" w:ascii="宋体" w:hAnsi="宋体" w:eastAsia="宋体" w:cs="宋体"/>
                <w:color w:val="auto"/>
              </w:rPr>
            </w:pPr>
            <w:r>
              <w:rPr>
                <w:rFonts w:hint="eastAsia" w:ascii="宋体" w:hAnsi="宋体" w:eastAsia="宋体" w:cs="宋体"/>
                <w:color w:val="auto"/>
              </w:rPr>
              <w:t>1、适用于9m普通路灯</w:t>
            </w:r>
          </w:p>
          <w:p w14:paraId="6C2DFC45">
            <w:pPr>
              <w:rPr>
                <w:rFonts w:hint="eastAsia" w:ascii="宋体" w:hAnsi="宋体" w:eastAsia="宋体" w:cs="宋体"/>
                <w:color w:val="auto"/>
              </w:rPr>
            </w:pPr>
            <w:r>
              <w:rPr>
                <w:rFonts w:hint="eastAsia" w:ascii="宋体" w:hAnsi="宋体" w:eastAsia="宋体" w:cs="宋体"/>
                <w:color w:val="auto"/>
              </w:rPr>
              <w:t>2、利用旧灯杆，制作适配的安装支架</w:t>
            </w:r>
          </w:p>
          <w:p w14:paraId="14B624C5">
            <w:pPr>
              <w:rPr>
                <w:rFonts w:hint="eastAsia" w:ascii="宋体" w:hAnsi="宋体" w:eastAsia="宋体" w:cs="宋体"/>
                <w:color w:val="auto"/>
              </w:rPr>
            </w:pPr>
            <w:r>
              <w:rPr>
                <w:rFonts w:hint="eastAsia" w:ascii="宋体" w:hAnsi="宋体" w:eastAsia="宋体" w:cs="宋体"/>
                <w:color w:val="auto"/>
              </w:rPr>
              <w:t>3、改造内容包含：太阳能光伏板、蓄电池、灯具、控制器以及加装太阳能系统后旧灯杆、路灯基础采取的必要的加固措施（太阳能路灯产品的具体参数详见招标文件中详细规格参数）</w:t>
            </w:r>
          </w:p>
          <w:p w14:paraId="7CE88DF9">
            <w:pPr>
              <w:rPr>
                <w:rFonts w:hint="eastAsia" w:ascii="宋体" w:hAnsi="宋体" w:eastAsia="宋体" w:cs="宋体"/>
                <w:color w:val="auto"/>
              </w:rPr>
            </w:pPr>
            <w:r>
              <w:rPr>
                <w:rFonts w:hint="eastAsia" w:ascii="宋体" w:hAnsi="宋体" w:eastAsia="宋体" w:cs="宋体"/>
                <w:color w:val="auto"/>
              </w:rPr>
              <w:t>4、原有路灯的灯杆、基础维修等，均包含在综合报价里</w:t>
            </w:r>
          </w:p>
          <w:p w14:paraId="6E1B4E08">
            <w:pPr>
              <w:rPr>
                <w:rFonts w:hint="eastAsia" w:ascii="宋体" w:hAnsi="宋体" w:eastAsia="宋体" w:cs="宋体"/>
                <w:color w:val="auto"/>
                <w:lang w:val="zh-CN"/>
              </w:rPr>
            </w:pPr>
            <w:r>
              <w:rPr>
                <w:rFonts w:hint="eastAsia" w:ascii="宋体" w:hAnsi="宋体" w:eastAsia="宋体" w:cs="宋体"/>
                <w:color w:val="auto"/>
              </w:rPr>
              <w:t>5、拆除后的材料按采购人要求在指定位置堆放整齐</w:t>
            </w:r>
          </w:p>
        </w:tc>
        <w:tc>
          <w:tcPr>
            <w:tcW w:w="660" w:type="dxa"/>
            <w:noWrap w:val="0"/>
            <w:vAlign w:val="center"/>
          </w:tcPr>
          <w:p w14:paraId="383EE94E">
            <w:pPr>
              <w:jc w:val="center"/>
              <w:rPr>
                <w:rFonts w:hint="eastAsia" w:ascii="宋体" w:hAnsi="宋体" w:eastAsia="宋体" w:cs="宋体"/>
                <w:color w:val="auto"/>
                <w:lang w:val="zh-CN"/>
              </w:rPr>
            </w:pPr>
            <w:r>
              <w:rPr>
                <w:rFonts w:hint="eastAsia" w:ascii="宋体" w:hAnsi="宋体" w:eastAsia="宋体" w:cs="宋体"/>
                <w:color w:val="auto"/>
              </w:rPr>
              <w:t>盏</w:t>
            </w:r>
          </w:p>
        </w:tc>
        <w:tc>
          <w:tcPr>
            <w:tcW w:w="675" w:type="dxa"/>
            <w:noWrap w:val="0"/>
            <w:vAlign w:val="center"/>
          </w:tcPr>
          <w:p w14:paraId="1583460A">
            <w:pPr>
              <w:jc w:val="center"/>
              <w:rPr>
                <w:rFonts w:hint="eastAsia" w:ascii="宋体" w:hAnsi="宋体" w:eastAsia="宋体" w:cs="宋体"/>
                <w:color w:val="auto"/>
              </w:rPr>
            </w:pPr>
            <w:r>
              <w:rPr>
                <w:rFonts w:hint="eastAsia" w:ascii="宋体" w:hAnsi="宋体" w:eastAsia="宋体" w:cs="宋体"/>
                <w:color w:val="auto"/>
              </w:rPr>
              <w:t>38</w:t>
            </w:r>
          </w:p>
        </w:tc>
        <w:tc>
          <w:tcPr>
            <w:tcW w:w="880" w:type="dxa"/>
            <w:noWrap w:val="0"/>
            <w:vAlign w:val="center"/>
          </w:tcPr>
          <w:p w14:paraId="71A13271">
            <w:pPr>
              <w:jc w:val="center"/>
              <w:rPr>
                <w:rFonts w:hint="eastAsia" w:ascii="宋体" w:hAnsi="宋体" w:eastAsia="宋体" w:cs="宋体"/>
                <w:color w:val="auto"/>
              </w:rPr>
            </w:pPr>
          </w:p>
        </w:tc>
        <w:tc>
          <w:tcPr>
            <w:tcW w:w="845" w:type="dxa"/>
            <w:noWrap w:val="0"/>
            <w:vAlign w:val="center"/>
          </w:tcPr>
          <w:p w14:paraId="387FEE4D">
            <w:pPr>
              <w:jc w:val="center"/>
              <w:rPr>
                <w:rFonts w:hint="eastAsia" w:ascii="宋体" w:hAnsi="宋体" w:eastAsia="宋体" w:cs="宋体"/>
                <w:color w:val="auto"/>
              </w:rPr>
            </w:pPr>
          </w:p>
        </w:tc>
        <w:tc>
          <w:tcPr>
            <w:tcW w:w="1140" w:type="dxa"/>
            <w:noWrap w:val="0"/>
            <w:vAlign w:val="center"/>
          </w:tcPr>
          <w:p w14:paraId="4E2E312D">
            <w:pPr>
              <w:jc w:val="center"/>
              <w:rPr>
                <w:rFonts w:hint="eastAsia" w:ascii="宋体" w:hAnsi="宋体" w:eastAsia="宋体" w:cs="宋体"/>
                <w:color w:val="auto"/>
                <w:lang w:val="zh-CN"/>
              </w:rPr>
            </w:pPr>
          </w:p>
        </w:tc>
        <w:tc>
          <w:tcPr>
            <w:tcW w:w="1155" w:type="dxa"/>
            <w:noWrap w:val="0"/>
            <w:vAlign w:val="center"/>
          </w:tcPr>
          <w:p w14:paraId="7C01BAE2">
            <w:pPr>
              <w:jc w:val="center"/>
              <w:rPr>
                <w:rFonts w:hint="eastAsia" w:ascii="宋体" w:hAnsi="宋体" w:eastAsia="宋体" w:cs="宋体"/>
                <w:color w:val="auto"/>
                <w:lang w:val="zh-CN"/>
              </w:rPr>
            </w:pPr>
          </w:p>
        </w:tc>
        <w:tc>
          <w:tcPr>
            <w:tcW w:w="870" w:type="dxa"/>
            <w:noWrap w:val="0"/>
            <w:vAlign w:val="center"/>
          </w:tcPr>
          <w:p w14:paraId="5230E572">
            <w:pPr>
              <w:jc w:val="center"/>
              <w:rPr>
                <w:rFonts w:hint="eastAsia" w:ascii="宋体" w:hAnsi="宋体" w:eastAsia="宋体" w:cs="宋体"/>
                <w:color w:val="auto"/>
                <w:lang w:val="zh-CN"/>
              </w:rPr>
            </w:pPr>
            <w:r>
              <w:rPr>
                <w:rFonts w:hint="eastAsia" w:ascii="宋体" w:hAnsi="宋体" w:eastAsia="宋体" w:cs="宋体"/>
                <w:color w:val="auto"/>
                <w:lang w:val="zh-CN"/>
              </w:rPr>
              <w:t>是</w:t>
            </w:r>
          </w:p>
        </w:tc>
      </w:tr>
      <w:tr w14:paraId="31EF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2" w:hRule="atLeast"/>
          <w:jc w:val="center"/>
        </w:trPr>
        <w:tc>
          <w:tcPr>
            <w:tcW w:w="774" w:type="dxa"/>
            <w:vMerge w:val="continue"/>
            <w:noWrap w:val="0"/>
            <w:vAlign w:val="center"/>
          </w:tcPr>
          <w:p w14:paraId="7AC6BA59">
            <w:pPr>
              <w:jc w:val="center"/>
              <w:rPr>
                <w:rFonts w:hint="eastAsia" w:ascii="宋体" w:hAnsi="宋体" w:eastAsia="宋体" w:cs="宋体"/>
                <w:color w:val="auto"/>
              </w:rPr>
            </w:pPr>
          </w:p>
        </w:tc>
        <w:tc>
          <w:tcPr>
            <w:tcW w:w="1325" w:type="dxa"/>
            <w:noWrap w:val="0"/>
            <w:vAlign w:val="center"/>
          </w:tcPr>
          <w:p w14:paraId="523A4F9F">
            <w:pPr>
              <w:jc w:val="center"/>
              <w:rPr>
                <w:rFonts w:hint="eastAsia" w:ascii="宋体" w:hAnsi="宋体" w:eastAsia="宋体" w:cs="宋体"/>
                <w:color w:val="auto"/>
                <w:lang w:val="zh-CN"/>
              </w:rPr>
            </w:pPr>
            <w:r>
              <w:rPr>
                <w:rFonts w:hint="eastAsia" w:ascii="宋体" w:hAnsi="宋体" w:eastAsia="宋体" w:cs="宋体"/>
                <w:color w:val="auto"/>
              </w:rPr>
              <w:t>50W太阳能路灯</w:t>
            </w:r>
          </w:p>
        </w:tc>
        <w:tc>
          <w:tcPr>
            <w:tcW w:w="2950" w:type="dxa"/>
            <w:noWrap w:val="0"/>
            <w:vAlign w:val="center"/>
          </w:tcPr>
          <w:p w14:paraId="0ADAF966">
            <w:pPr>
              <w:rPr>
                <w:rFonts w:hint="eastAsia" w:ascii="宋体" w:hAnsi="宋体" w:eastAsia="宋体" w:cs="宋体"/>
                <w:color w:val="auto"/>
              </w:rPr>
            </w:pPr>
            <w:r>
              <w:rPr>
                <w:rFonts w:hint="eastAsia" w:ascii="宋体" w:hAnsi="宋体" w:eastAsia="宋体" w:cs="宋体"/>
                <w:color w:val="auto"/>
              </w:rPr>
              <w:t>1、适用于8m普通路灯</w:t>
            </w:r>
          </w:p>
          <w:p w14:paraId="3707626A">
            <w:pPr>
              <w:rPr>
                <w:rFonts w:hint="eastAsia" w:ascii="宋体" w:hAnsi="宋体" w:eastAsia="宋体" w:cs="宋体"/>
                <w:color w:val="auto"/>
              </w:rPr>
            </w:pPr>
            <w:r>
              <w:rPr>
                <w:rFonts w:hint="eastAsia" w:ascii="宋体" w:hAnsi="宋体" w:eastAsia="宋体" w:cs="宋体"/>
                <w:color w:val="auto"/>
              </w:rPr>
              <w:t>2、利用旧灯杆，制作适配的安装支架</w:t>
            </w:r>
          </w:p>
          <w:p w14:paraId="402716CC">
            <w:pPr>
              <w:rPr>
                <w:rFonts w:hint="eastAsia" w:ascii="宋体" w:hAnsi="宋体" w:eastAsia="宋体" w:cs="宋体"/>
                <w:color w:val="auto"/>
              </w:rPr>
            </w:pPr>
            <w:r>
              <w:rPr>
                <w:rFonts w:hint="eastAsia" w:ascii="宋体" w:hAnsi="宋体" w:eastAsia="宋体" w:cs="宋体"/>
                <w:color w:val="auto"/>
              </w:rPr>
              <w:t>3、改造内容包含：太阳能光伏板、蓄电池、灯具、控制器以及加装太阳能系统后旧灯杆、路灯基础采取的必要的加固措施（太阳能路灯产品的具体参数详见招标文件中详细规格参数）</w:t>
            </w:r>
          </w:p>
          <w:p w14:paraId="557A8FCF">
            <w:pPr>
              <w:rPr>
                <w:rFonts w:hint="eastAsia" w:ascii="宋体" w:hAnsi="宋体" w:eastAsia="宋体" w:cs="宋体"/>
                <w:color w:val="auto"/>
              </w:rPr>
            </w:pPr>
            <w:r>
              <w:rPr>
                <w:rFonts w:hint="eastAsia" w:ascii="宋体" w:hAnsi="宋体" w:eastAsia="宋体" w:cs="宋体"/>
                <w:color w:val="auto"/>
              </w:rPr>
              <w:t>4、原有路灯的灯杆、基础维修等，均包含在综合报价里</w:t>
            </w:r>
          </w:p>
          <w:p w14:paraId="65C14E29">
            <w:pPr>
              <w:rPr>
                <w:rFonts w:hint="eastAsia" w:ascii="宋体" w:hAnsi="宋体" w:eastAsia="宋体" w:cs="宋体"/>
                <w:color w:val="auto"/>
                <w:lang w:val="zh-CN"/>
              </w:rPr>
            </w:pPr>
            <w:r>
              <w:rPr>
                <w:rFonts w:hint="eastAsia" w:ascii="宋体" w:hAnsi="宋体" w:eastAsia="宋体" w:cs="宋体"/>
                <w:color w:val="auto"/>
              </w:rPr>
              <w:t>5、拆除后的材料按采购人要求在指定位置堆放整齐</w:t>
            </w:r>
          </w:p>
        </w:tc>
        <w:tc>
          <w:tcPr>
            <w:tcW w:w="660" w:type="dxa"/>
            <w:noWrap w:val="0"/>
            <w:vAlign w:val="center"/>
          </w:tcPr>
          <w:p w14:paraId="50EAE2F8">
            <w:pPr>
              <w:jc w:val="center"/>
              <w:rPr>
                <w:rFonts w:hint="eastAsia" w:ascii="宋体" w:hAnsi="宋体" w:eastAsia="宋体" w:cs="宋体"/>
                <w:color w:val="auto"/>
                <w:lang w:val="zh-CN"/>
              </w:rPr>
            </w:pPr>
            <w:r>
              <w:rPr>
                <w:rFonts w:hint="eastAsia" w:ascii="宋体" w:hAnsi="宋体" w:eastAsia="宋体" w:cs="宋体"/>
                <w:color w:val="auto"/>
              </w:rPr>
              <w:t>盏</w:t>
            </w:r>
          </w:p>
        </w:tc>
        <w:tc>
          <w:tcPr>
            <w:tcW w:w="675" w:type="dxa"/>
            <w:noWrap w:val="0"/>
            <w:vAlign w:val="center"/>
          </w:tcPr>
          <w:p w14:paraId="7E357225">
            <w:pPr>
              <w:jc w:val="center"/>
              <w:rPr>
                <w:rFonts w:hint="eastAsia" w:ascii="宋体" w:hAnsi="宋体" w:eastAsia="宋体" w:cs="宋体"/>
                <w:color w:val="auto"/>
              </w:rPr>
            </w:pPr>
            <w:r>
              <w:rPr>
                <w:rFonts w:hint="eastAsia" w:ascii="宋体" w:hAnsi="宋体" w:eastAsia="宋体" w:cs="宋体"/>
                <w:color w:val="auto"/>
              </w:rPr>
              <w:t>484</w:t>
            </w:r>
          </w:p>
        </w:tc>
        <w:tc>
          <w:tcPr>
            <w:tcW w:w="880" w:type="dxa"/>
            <w:noWrap w:val="0"/>
            <w:vAlign w:val="center"/>
          </w:tcPr>
          <w:p w14:paraId="3ED5BF3B">
            <w:pPr>
              <w:jc w:val="center"/>
              <w:rPr>
                <w:rFonts w:hint="eastAsia" w:ascii="宋体" w:hAnsi="宋体" w:eastAsia="宋体" w:cs="宋体"/>
                <w:color w:val="auto"/>
              </w:rPr>
            </w:pPr>
          </w:p>
        </w:tc>
        <w:tc>
          <w:tcPr>
            <w:tcW w:w="845" w:type="dxa"/>
            <w:noWrap w:val="0"/>
            <w:vAlign w:val="center"/>
          </w:tcPr>
          <w:p w14:paraId="55DC2500">
            <w:pPr>
              <w:jc w:val="center"/>
              <w:rPr>
                <w:rFonts w:hint="eastAsia" w:ascii="宋体" w:hAnsi="宋体" w:eastAsia="宋体" w:cs="宋体"/>
                <w:color w:val="auto"/>
              </w:rPr>
            </w:pPr>
          </w:p>
        </w:tc>
        <w:tc>
          <w:tcPr>
            <w:tcW w:w="1140" w:type="dxa"/>
            <w:noWrap w:val="0"/>
            <w:vAlign w:val="center"/>
          </w:tcPr>
          <w:p w14:paraId="63DBD5E5">
            <w:pPr>
              <w:jc w:val="center"/>
              <w:rPr>
                <w:rFonts w:hint="eastAsia" w:ascii="宋体" w:hAnsi="宋体" w:eastAsia="宋体" w:cs="宋体"/>
                <w:color w:val="auto"/>
                <w:lang w:val="zh-CN"/>
              </w:rPr>
            </w:pPr>
          </w:p>
        </w:tc>
        <w:tc>
          <w:tcPr>
            <w:tcW w:w="1155" w:type="dxa"/>
            <w:noWrap w:val="0"/>
            <w:vAlign w:val="center"/>
          </w:tcPr>
          <w:p w14:paraId="34CEB368">
            <w:pPr>
              <w:jc w:val="center"/>
              <w:rPr>
                <w:rFonts w:hint="eastAsia" w:ascii="宋体" w:hAnsi="宋体" w:eastAsia="宋体" w:cs="宋体"/>
                <w:color w:val="auto"/>
                <w:lang w:val="zh-CN"/>
              </w:rPr>
            </w:pPr>
          </w:p>
        </w:tc>
        <w:tc>
          <w:tcPr>
            <w:tcW w:w="870" w:type="dxa"/>
            <w:noWrap w:val="0"/>
            <w:vAlign w:val="center"/>
          </w:tcPr>
          <w:p w14:paraId="2A8F631F">
            <w:pPr>
              <w:jc w:val="center"/>
              <w:rPr>
                <w:rFonts w:hint="eastAsia" w:ascii="宋体" w:hAnsi="宋体" w:eastAsia="宋体" w:cs="宋体"/>
                <w:color w:val="auto"/>
                <w:lang w:val="zh-CN"/>
              </w:rPr>
            </w:pPr>
            <w:r>
              <w:rPr>
                <w:rFonts w:hint="eastAsia" w:ascii="宋体" w:hAnsi="宋体" w:eastAsia="宋体" w:cs="宋体"/>
                <w:color w:val="auto"/>
                <w:lang w:val="zh-CN"/>
              </w:rPr>
              <w:t>是</w:t>
            </w:r>
          </w:p>
        </w:tc>
      </w:tr>
      <w:tr w14:paraId="40F3B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Merge w:val="continue"/>
            <w:noWrap w:val="0"/>
            <w:vAlign w:val="center"/>
          </w:tcPr>
          <w:p w14:paraId="505853E8">
            <w:pPr>
              <w:jc w:val="center"/>
              <w:rPr>
                <w:rFonts w:hint="eastAsia" w:ascii="宋体" w:hAnsi="宋体" w:eastAsia="宋体" w:cs="宋体"/>
                <w:color w:val="auto"/>
              </w:rPr>
            </w:pPr>
          </w:p>
        </w:tc>
        <w:tc>
          <w:tcPr>
            <w:tcW w:w="1325" w:type="dxa"/>
            <w:noWrap w:val="0"/>
            <w:vAlign w:val="center"/>
          </w:tcPr>
          <w:p w14:paraId="5E562114">
            <w:pPr>
              <w:jc w:val="center"/>
              <w:rPr>
                <w:rFonts w:hint="eastAsia" w:ascii="宋体" w:hAnsi="宋体" w:eastAsia="宋体" w:cs="宋体"/>
                <w:color w:val="auto"/>
                <w:lang w:val="zh-CN"/>
              </w:rPr>
            </w:pPr>
            <w:r>
              <w:rPr>
                <w:rFonts w:hint="eastAsia" w:ascii="宋体" w:hAnsi="宋体" w:eastAsia="宋体" w:cs="宋体"/>
                <w:color w:val="auto"/>
              </w:rPr>
              <w:t>35W太阳能路灯</w:t>
            </w:r>
          </w:p>
        </w:tc>
        <w:tc>
          <w:tcPr>
            <w:tcW w:w="2950" w:type="dxa"/>
            <w:noWrap w:val="0"/>
            <w:vAlign w:val="center"/>
          </w:tcPr>
          <w:p w14:paraId="6703C17C">
            <w:pPr>
              <w:rPr>
                <w:rFonts w:hint="eastAsia" w:ascii="宋体" w:hAnsi="宋体" w:eastAsia="宋体" w:cs="宋体"/>
                <w:color w:val="auto"/>
              </w:rPr>
            </w:pPr>
            <w:r>
              <w:rPr>
                <w:rFonts w:hint="eastAsia" w:ascii="宋体" w:hAnsi="宋体" w:eastAsia="宋体" w:cs="宋体"/>
                <w:color w:val="auto"/>
              </w:rPr>
              <w:t>1、适用于西振海路6m庭院灯</w:t>
            </w:r>
          </w:p>
          <w:p w14:paraId="42F5BA05">
            <w:pPr>
              <w:rPr>
                <w:rFonts w:hint="eastAsia" w:ascii="宋体" w:hAnsi="宋体" w:eastAsia="宋体" w:cs="宋体"/>
                <w:color w:val="auto"/>
              </w:rPr>
            </w:pPr>
            <w:r>
              <w:rPr>
                <w:rFonts w:hint="eastAsia" w:ascii="宋体" w:hAnsi="宋体" w:eastAsia="宋体" w:cs="宋体"/>
                <w:color w:val="auto"/>
              </w:rPr>
              <w:t>2、含灯杆及安装支架</w:t>
            </w:r>
          </w:p>
          <w:p w14:paraId="65DF68D6">
            <w:pPr>
              <w:rPr>
                <w:rFonts w:hint="eastAsia" w:ascii="宋体" w:hAnsi="宋体" w:eastAsia="宋体" w:cs="宋体"/>
                <w:color w:val="auto"/>
              </w:rPr>
            </w:pPr>
            <w:r>
              <w:rPr>
                <w:rFonts w:hint="eastAsia" w:ascii="宋体" w:hAnsi="宋体" w:eastAsia="宋体" w:cs="宋体"/>
                <w:color w:val="auto"/>
              </w:rPr>
              <w:t>3、改造内容包含：太阳能光伏板、蓄电池、灯具、控制器（太阳能路灯产品的具体参数详见招标文件中详细规格参数）</w:t>
            </w:r>
          </w:p>
          <w:p w14:paraId="297CED1B">
            <w:pPr>
              <w:rPr>
                <w:rFonts w:hint="eastAsia" w:ascii="宋体" w:hAnsi="宋体" w:eastAsia="宋体" w:cs="宋体"/>
                <w:color w:val="auto"/>
              </w:rPr>
            </w:pPr>
            <w:r>
              <w:rPr>
                <w:rFonts w:hint="eastAsia" w:ascii="宋体" w:hAnsi="宋体" w:eastAsia="宋体" w:cs="宋体"/>
                <w:color w:val="auto"/>
              </w:rPr>
              <w:t>4、原有路灯的基础维修等，均包含在综合报价里</w:t>
            </w:r>
          </w:p>
          <w:p w14:paraId="21B383D2">
            <w:pPr>
              <w:rPr>
                <w:rFonts w:hint="eastAsia" w:ascii="宋体" w:hAnsi="宋体" w:eastAsia="宋体" w:cs="宋体"/>
                <w:color w:val="auto"/>
                <w:lang w:val="zh-CN"/>
              </w:rPr>
            </w:pPr>
            <w:r>
              <w:rPr>
                <w:rFonts w:hint="eastAsia" w:ascii="宋体" w:hAnsi="宋体" w:eastAsia="宋体" w:cs="宋体"/>
                <w:color w:val="auto"/>
              </w:rPr>
              <w:t>5、拆除后的材料按采购人要求在指定位置堆放整齐</w:t>
            </w:r>
          </w:p>
        </w:tc>
        <w:tc>
          <w:tcPr>
            <w:tcW w:w="660" w:type="dxa"/>
            <w:noWrap w:val="0"/>
            <w:vAlign w:val="center"/>
          </w:tcPr>
          <w:p w14:paraId="378EE4DB">
            <w:pPr>
              <w:jc w:val="center"/>
              <w:rPr>
                <w:rFonts w:hint="eastAsia" w:ascii="宋体" w:hAnsi="宋体" w:eastAsia="宋体" w:cs="宋体"/>
                <w:color w:val="auto"/>
                <w:lang w:val="zh-CN"/>
              </w:rPr>
            </w:pPr>
            <w:r>
              <w:rPr>
                <w:rFonts w:hint="eastAsia" w:ascii="宋体" w:hAnsi="宋体" w:eastAsia="宋体" w:cs="宋体"/>
                <w:color w:val="auto"/>
              </w:rPr>
              <w:t>盏</w:t>
            </w:r>
          </w:p>
        </w:tc>
        <w:tc>
          <w:tcPr>
            <w:tcW w:w="675" w:type="dxa"/>
            <w:noWrap w:val="0"/>
            <w:vAlign w:val="center"/>
          </w:tcPr>
          <w:p w14:paraId="7A92B23A">
            <w:pPr>
              <w:jc w:val="center"/>
              <w:rPr>
                <w:rFonts w:hint="eastAsia" w:ascii="宋体" w:hAnsi="宋体" w:eastAsia="宋体" w:cs="宋体"/>
                <w:color w:val="auto"/>
              </w:rPr>
            </w:pPr>
            <w:r>
              <w:rPr>
                <w:rFonts w:hint="eastAsia" w:ascii="宋体" w:hAnsi="宋体" w:eastAsia="宋体" w:cs="宋体"/>
                <w:color w:val="auto"/>
              </w:rPr>
              <w:t>135</w:t>
            </w:r>
          </w:p>
        </w:tc>
        <w:tc>
          <w:tcPr>
            <w:tcW w:w="880" w:type="dxa"/>
            <w:noWrap w:val="0"/>
            <w:vAlign w:val="center"/>
          </w:tcPr>
          <w:p w14:paraId="6A4484E4">
            <w:pPr>
              <w:jc w:val="center"/>
              <w:rPr>
                <w:rFonts w:hint="eastAsia" w:ascii="宋体" w:hAnsi="宋体" w:eastAsia="宋体" w:cs="宋体"/>
                <w:color w:val="auto"/>
              </w:rPr>
            </w:pPr>
          </w:p>
        </w:tc>
        <w:tc>
          <w:tcPr>
            <w:tcW w:w="845" w:type="dxa"/>
            <w:noWrap w:val="0"/>
            <w:vAlign w:val="center"/>
          </w:tcPr>
          <w:p w14:paraId="45921B6E">
            <w:pPr>
              <w:jc w:val="center"/>
              <w:rPr>
                <w:rFonts w:hint="eastAsia" w:ascii="宋体" w:hAnsi="宋体" w:eastAsia="宋体" w:cs="宋体"/>
                <w:color w:val="auto"/>
              </w:rPr>
            </w:pPr>
          </w:p>
        </w:tc>
        <w:tc>
          <w:tcPr>
            <w:tcW w:w="1140" w:type="dxa"/>
            <w:noWrap w:val="0"/>
            <w:vAlign w:val="center"/>
          </w:tcPr>
          <w:p w14:paraId="6CA848A0">
            <w:pPr>
              <w:jc w:val="center"/>
              <w:rPr>
                <w:rFonts w:hint="eastAsia" w:ascii="宋体" w:hAnsi="宋体" w:eastAsia="宋体" w:cs="宋体"/>
                <w:color w:val="auto"/>
                <w:lang w:val="zh-CN"/>
              </w:rPr>
            </w:pPr>
          </w:p>
        </w:tc>
        <w:tc>
          <w:tcPr>
            <w:tcW w:w="1155" w:type="dxa"/>
            <w:noWrap w:val="0"/>
            <w:vAlign w:val="center"/>
          </w:tcPr>
          <w:p w14:paraId="669B2438">
            <w:pPr>
              <w:jc w:val="center"/>
              <w:rPr>
                <w:rFonts w:hint="eastAsia" w:ascii="宋体" w:hAnsi="宋体" w:eastAsia="宋体" w:cs="宋体"/>
                <w:color w:val="auto"/>
                <w:lang w:val="zh-CN"/>
              </w:rPr>
            </w:pPr>
          </w:p>
        </w:tc>
        <w:tc>
          <w:tcPr>
            <w:tcW w:w="870" w:type="dxa"/>
            <w:noWrap w:val="0"/>
            <w:vAlign w:val="center"/>
          </w:tcPr>
          <w:p w14:paraId="3F75AD65">
            <w:pPr>
              <w:jc w:val="center"/>
              <w:rPr>
                <w:rFonts w:hint="eastAsia" w:ascii="宋体" w:hAnsi="宋体" w:eastAsia="宋体" w:cs="宋体"/>
                <w:color w:val="auto"/>
                <w:lang w:val="zh-CN"/>
              </w:rPr>
            </w:pPr>
            <w:r>
              <w:rPr>
                <w:rFonts w:hint="eastAsia" w:ascii="宋体" w:hAnsi="宋体" w:eastAsia="宋体" w:cs="宋体"/>
                <w:color w:val="auto"/>
                <w:lang w:val="zh-CN"/>
              </w:rPr>
              <w:t>是</w:t>
            </w:r>
          </w:p>
        </w:tc>
      </w:tr>
      <w:tr w14:paraId="7DB0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Merge w:val="continue"/>
            <w:noWrap w:val="0"/>
            <w:vAlign w:val="center"/>
          </w:tcPr>
          <w:p w14:paraId="6323E36B">
            <w:pPr>
              <w:jc w:val="center"/>
              <w:rPr>
                <w:rFonts w:hint="eastAsia" w:ascii="宋体" w:hAnsi="宋体" w:eastAsia="宋体" w:cs="宋体"/>
                <w:color w:val="auto"/>
              </w:rPr>
            </w:pPr>
          </w:p>
        </w:tc>
        <w:tc>
          <w:tcPr>
            <w:tcW w:w="1325" w:type="dxa"/>
            <w:noWrap w:val="0"/>
            <w:vAlign w:val="center"/>
          </w:tcPr>
          <w:p w14:paraId="7573E03E">
            <w:pPr>
              <w:jc w:val="center"/>
              <w:rPr>
                <w:rFonts w:hint="eastAsia" w:ascii="宋体" w:hAnsi="宋体" w:eastAsia="宋体" w:cs="宋体"/>
                <w:color w:val="auto"/>
              </w:rPr>
            </w:pPr>
            <w:r>
              <w:rPr>
                <w:rFonts w:hint="eastAsia" w:ascii="宋体" w:hAnsi="宋体" w:eastAsia="宋体" w:cs="宋体"/>
                <w:color w:val="auto"/>
              </w:rPr>
              <w:t>120W太阳能路灯+50W市电补能投光灯</w:t>
            </w:r>
          </w:p>
        </w:tc>
        <w:tc>
          <w:tcPr>
            <w:tcW w:w="2950" w:type="dxa"/>
            <w:noWrap w:val="0"/>
            <w:vAlign w:val="center"/>
          </w:tcPr>
          <w:p w14:paraId="6ADF22D1">
            <w:pPr>
              <w:rPr>
                <w:rFonts w:hint="eastAsia" w:ascii="宋体" w:hAnsi="宋体" w:eastAsia="宋体" w:cs="宋体"/>
                <w:color w:val="auto"/>
              </w:rPr>
            </w:pPr>
            <w:r>
              <w:rPr>
                <w:rFonts w:hint="eastAsia" w:ascii="宋体" w:hAnsi="宋体" w:eastAsia="宋体" w:cs="宋体"/>
                <w:color w:val="auto"/>
              </w:rPr>
              <w:t>1、适用于南海路10m路灯</w:t>
            </w:r>
          </w:p>
          <w:p w14:paraId="0CAE633D">
            <w:pPr>
              <w:rPr>
                <w:rFonts w:hint="eastAsia" w:ascii="宋体" w:hAnsi="宋体" w:eastAsia="宋体" w:cs="宋体"/>
                <w:color w:val="auto"/>
              </w:rPr>
            </w:pPr>
            <w:r>
              <w:rPr>
                <w:rFonts w:hint="eastAsia" w:ascii="宋体" w:hAnsi="宋体" w:eastAsia="宋体" w:cs="宋体"/>
                <w:color w:val="auto"/>
              </w:rPr>
              <w:t>2、利用旧灯杆，制作适配的安装支架</w:t>
            </w:r>
          </w:p>
          <w:p w14:paraId="0DF19F46">
            <w:pPr>
              <w:rPr>
                <w:rFonts w:hint="eastAsia" w:ascii="宋体" w:hAnsi="宋体" w:eastAsia="宋体" w:cs="宋体"/>
                <w:color w:val="auto"/>
              </w:rPr>
            </w:pPr>
            <w:r>
              <w:rPr>
                <w:rFonts w:hint="eastAsia" w:ascii="宋体" w:hAnsi="宋体" w:eastAsia="宋体" w:cs="宋体"/>
                <w:color w:val="auto"/>
              </w:rPr>
              <w:t>3、改造内容包含：太阳能光伏板、蓄电池、灯具、控制器，补能投光灯；以及加装太阳能系统后旧灯杆、路灯基础采取的必要的加固措施（太阳能路灯产品的具体参数详见招标文件中详细规格参数）</w:t>
            </w:r>
          </w:p>
          <w:p w14:paraId="02747B68">
            <w:pPr>
              <w:rPr>
                <w:rFonts w:hint="eastAsia" w:ascii="宋体" w:hAnsi="宋体" w:eastAsia="宋体" w:cs="宋体"/>
                <w:color w:val="auto"/>
              </w:rPr>
            </w:pPr>
            <w:r>
              <w:rPr>
                <w:rFonts w:hint="eastAsia" w:ascii="宋体" w:hAnsi="宋体" w:eastAsia="宋体" w:cs="宋体"/>
                <w:color w:val="auto"/>
              </w:rPr>
              <w:t>4、原有路灯的灯杆、基础维修等，均包含在综合报价里</w:t>
            </w:r>
          </w:p>
          <w:p w14:paraId="5ED84318">
            <w:pPr>
              <w:rPr>
                <w:rFonts w:hint="eastAsia" w:ascii="宋体" w:hAnsi="宋体" w:eastAsia="宋体" w:cs="宋体"/>
                <w:color w:val="auto"/>
              </w:rPr>
            </w:pPr>
            <w:r>
              <w:rPr>
                <w:rFonts w:hint="eastAsia" w:ascii="宋体" w:hAnsi="宋体" w:eastAsia="宋体" w:cs="宋体"/>
                <w:color w:val="auto"/>
              </w:rPr>
              <w:t>5、包含：市电补能投光灯运行电费，报价中综合考虑，采购人不另行支付</w:t>
            </w:r>
          </w:p>
          <w:p w14:paraId="4B605A3A">
            <w:pPr>
              <w:rPr>
                <w:rFonts w:hint="eastAsia" w:ascii="宋体" w:hAnsi="宋体" w:eastAsia="宋体" w:cs="宋体"/>
                <w:color w:val="auto"/>
                <w:lang w:val="zh-CN"/>
              </w:rPr>
            </w:pPr>
            <w:r>
              <w:rPr>
                <w:rFonts w:hint="eastAsia" w:ascii="宋体" w:hAnsi="宋体" w:eastAsia="宋体" w:cs="宋体"/>
                <w:color w:val="auto"/>
              </w:rPr>
              <w:t>6、拆除后的材料按采购人要求在指定位置堆放整齐</w:t>
            </w:r>
          </w:p>
        </w:tc>
        <w:tc>
          <w:tcPr>
            <w:tcW w:w="660" w:type="dxa"/>
            <w:noWrap w:val="0"/>
            <w:vAlign w:val="center"/>
          </w:tcPr>
          <w:p w14:paraId="701C2EDE">
            <w:pPr>
              <w:jc w:val="center"/>
              <w:rPr>
                <w:rFonts w:hint="eastAsia" w:ascii="宋体" w:hAnsi="宋体" w:eastAsia="宋体" w:cs="宋体"/>
                <w:color w:val="auto"/>
                <w:lang w:val="zh-CN"/>
              </w:rPr>
            </w:pPr>
            <w:r>
              <w:rPr>
                <w:rFonts w:hint="eastAsia" w:ascii="宋体" w:hAnsi="宋体" w:eastAsia="宋体" w:cs="宋体"/>
                <w:color w:val="auto"/>
              </w:rPr>
              <w:t>盏</w:t>
            </w:r>
          </w:p>
        </w:tc>
        <w:tc>
          <w:tcPr>
            <w:tcW w:w="675" w:type="dxa"/>
            <w:noWrap w:val="0"/>
            <w:vAlign w:val="center"/>
          </w:tcPr>
          <w:p w14:paraId="7EBFEF46">
            <w:pPr>
              <w:jc w:val="center"/>
              <w:rPr>
                <w:rFonts w:hint="eastAsia" w:ascii="宋体" w:hAnsi="宋体" w:eastAsia="宋体" w:cs="宋体"/>
                <w:color w:val="auto"/>
              </w:rPr>
            </w:pPr>
            <w:r>
              <w:rPr>
                <w:rFonts w:hint="eastAsia" w:ascii="宋体" w:hAnsi="宋体" w:eastAsia="宋体" w:cs="宋体"/>
                <w:color w:val="auto"/>
              </w:rPr>
              <w:t>259</w:t>
            </w:r>
          </w:p>
        </w:tc>
        <w:tc>
          <w:tcPr>
            <w:tcW w:w="880" w:type="dxa"/>
            <w:noWrap w:val="0"/>
            <w:vAlign w:val="center"/>
          </w:tcPr>
          <w:p w14:paraId="6B1FC437">
            <w:pPr>
              <w:jc w:val="center"/>
              <w:rPr>
                <w:rFonts w:hint="eastAsia" w:ascii="宋体" w:hAnsi="宋体" w:eastAsia="宋体" w:cs="宋体"/>
                <w:color w:val="auto"/>
              </w:rPr>
            </w:pPr>
          </w:p>
        </w:tc>
        <w:tc>
          <w:tcPr>
            <w:tcW w:w="845" w:type="dxa"/>
            <w:noWrap w:val="0"/>
            <w:vAlign w:val="center"/>
          </w:tcPr>
          <w:p w14:paraId="0A4E5177">
            <w:pPr>
              <w:jc w:val="center"/>
              <w:rPr>
                <w:rFonts w:hint="eastAsia" w:ascii="宋体" w:hAnsi="宋体" w:eastAsia="宋体" w:cs="宋体"/>
                <w:color w:val="auto"/>
              </w:rPr>
            </w:pPr>
          </w:p>
        </w:tc>
        <w:tc>
          <w:tcPr>
            <w:tcW w:w="1140" w:type="dxa"/>
            <w:noWrap w:val="0"/>
            <w:vAlign w:val="center"/>
          </w:tcPr>
          <w:p w14:paraId="005B86F5">
            <w:pPr>
              <w:jc w:val="center"/>
              <w:rPr>
                <w:rFonts w:hint="eastAsia" w:ascii="宋体" w:hAnsi="宋体" w:eastAsia="宋体" w:cs="宋体"/>
                <w:color w:val="auto"/>
                <w:lang w:val="zh-CN"/>
              </w:rPr>
            </w:pPr>
          </w:p>
        </w:tc>
        <w:tc>
          <w:tcPr>
            <w:tcW w:w="1155" w:type="dxa"/>
            <w:noWrap w:val="0"/>
            <w:vAlign w:val="center"/>
          </w:tcPr>
          <w:p w14:paraId="2E24D7E6">
            <w:pPr>
              <w:jc w:val="center"/>
              <w:rPr>
                <w:rFonts w:hint="eastAsia" w:ascii="宋体" w:hAnsi="宋体" w:eastAsia="宋体" w:cs="宋体"/>
                <w:color w:val="auto"/>
                <w:lang w:val="zh-CN"/>
              </w:rPr>
            </w:pPr>
          </w:p>
        </w:tc>
        <w:tc>
          <w:tcPr>
            <w:tcW w:w="870" w:type="dxa"/>
            <w:noWrap w:val="0"/>
            <w:vAlign w:val="center"/>
          </w:tcPr>
          <w:p w14:paraId="0671EB9C">
            <w:pPr>
              <w:jc w:val="center"/>
              <w:rPr>
                <w:rFonts w:hint="eastAsia" w:ascii="宋体" w:hAnsi="宋体" w:eastAsia="宋体" w:cs="宋体"/>
                <w:color w:val="auto"/>
                <w:lang w:val="zh-CN"/>
              </w:rPr>
            </w:pPr>
            <w:r>
              <w:rPr>
                <w:rFonts w:hint="eastAsia" w:ascii="宋体" w:hAnsi="宋体" w:eastAsia="宋体" w:cs="宋体"/>
                <w:color w:val="auto"/>
                <w:lang w:val="zh-CN"/>
              </w:rPr>
              <w:t>是</w:t>
            </w:r>
          </w:p>
        </w:tc>
      </w:tr>
      <w:tr w14:paraId="3D1B2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Merge w:val="continue"/>
            <w:noWrap w:val="0"/>
            <w:vAlign w:val="center"/>
          </w:tcPr>
          <w:p w14:paraId="2F73B25F">
            <w:pPr>
              <w:jc w:val="center"/>
              <w:rPr>
                <w:rFonts w:hint="eastAsia" w:ascii="宋体" w:hAnsi="宋体" w:eastAsia="宋体" w:cs="宋体"/>
                <w:color w:val="auto"/>
              </w:rPr>
            </w:pPr>
          </w:p>
        </w:tc>
        <w:tc>
          <w:tcPr>
            <w:tcW w:w="1325" w:type="dxa"/>
            <w:noWrap w:val="0"/>
            <w:vAlign w:val="center"/>
          </w:tcPr>
          <w:p w14:paraId="538F80E6">
            <w:pPr>
              <w:jc w:val="center"/>
              <w:rPr>
                <w:rFonts w:hint="eastAsia" w:ascii="宋体" w:hAnsi="宋体" w:eastAsia="宋体" w:cs="宋体"/>
                <w:color w:val="auto"/>
              </w:rPr>
            </w:pPr>
            <w:r>
              <w:rPr>
                <w:rFonts w:hint="eastAsia" w:ascii="宋体" w:hAnsi="宋体" w:eastAsia="宋体" w:cs="宋体"/>
                <w:color w:val="auto"/>
              </w:rPr>
              <w:t>120W太阳能路灯</w:t>
            </w:r>
          </w:p>
        </w:tc>
        <w:tc>
          <w:tcPr>
            <w:tcW w:w="2950" w:type="dxa"/>
            <w:noWrap w:val="0"/>
            <w:vAlign w:val="center"/>
          </w:tcPr>
          <w:p w14:paraId="220A773C">
            <w:pPr>
              <w:rPr>
                <w:rFonts w:hint="eastAsia" w:ascii="宋体" w:hAnsi="宋体" w:eastAsia="宋体" w:cs="宋体"/>
                <w:color w:val="auto"/>
              </w:rPr>
            </w:pPr>
            <w:r>
              <w:rPr>
                <w:rFonts w:hint="eastAsia" w:ascii="宋体" w:hAnsi="宋体" w:eastAsia="宋体" w:cs="宋体"/>
                <w:color w:val="auto"/>
              </w:rPr>
              <w:t>1、适用于12m高杆灯</w:t>
            </w:r>
          </w:p>
          <w:p w14:paraId="7A8FCD49">
            <w:pPr>
              <w:rPr>
                <w:rFonts w:hint="eastAsia" w:ascii="宋体" w:hAnsi="宋体" w:eastAsia="宋体" w:cs="宋体"/>
                <w:color w:val="auto"/>
              </w:rPr>
            </w:pPr>
            <w:r>
              <w:rPr>
                <w:rFonts w:hint="eastAsia" w:ascii="宋体" w:hAnsi="宋体" w:eastAsia="宋体" w:cs="宋体"/>
                <w:color w:val="auto"/>
              </w:rPr>
              <w:t>2、利用旧灯杆，制作适配的安装支架</w:t>
            </w:r>
          </w:p>
          <w:p w14:paraId="4A4C817C">
            <w:pPr>
              <w:rPr>
                <w:rFonts w:hint="eastAsia" w:ascii="宋体" w:hAnsi="宋体" w:eastAsia="宋体" w:cs="宋体"/>
                <w:color w:val="auto"/>
              </w:rPr>
            </w:pPr>
            <w:r>
              <w:rPr>
                <w:rFonts w:hint="eastAsia" w:ascii="宋体" w:hAnsi="宋体" w:eastAsia="宋体" w:cs="宋体"/>
                <w:color w:val="auto"/>
              </w:rPr>
              <w:t>3、改造内容包含：太阳能光伏板、蓄电池、灯具、控制器以及加装太阳能系统后旧灯杆、路灯基础采取的必要的加固措施（太阳能路灯产品的具体参数详见招标文件中详细规格参数）</w:t>
            </w:r>
          </w:p>
          <w:p w14:paraId="09248D13">
            <w:pPr>
              <w:rPr>
                <w:rFonts w:hint="eastAsia" w:ascii="宋体" w:hAnsi="宋体" w:eastAsia="宋体" w:cs="宋体"/>
                <w:color w:val="auto"/>
              </w:rPr>
            </w:pPr>
            <w:r>
              <w:rPr>
                <w:rFonts w:hint="eastAsia" w:ascii="宋体" w:hAnsi="宋体" w:eastAsia="宋体" w:cs="宋体"/>
                <w:color w:val="auto"/>
              </w:rPr>
              <w:t>4、原有路灯的灯杆、基础维修等，均包含在综合报价里</w:t>
            </w:r>
          </w:p>
          <w:p w14:paraId="2013D5FC">
            <w:pPr>
              <w:rPr>
                <w:rFonts w:hint="eastAsia" w:ascii="宋体" w:hAnsi="宋体" w:eastAsia="宋体" w:cs="宋体"/>
                <w:color w:val="auto"/>
                <w:lang w:val="zh-CN"/>
              </w:rPr>
            </w:pPr>
            <w:r>
              <w:rPr>
                <w:rFonts w:hint="eastAsia" w:ascii="宋体" w:hAnsi="宋体" w:eastAsia="宋体" w:cs="宋体"/>
                <w:color w:val="auto"/>
              </w:rPr>
              <w:t>5、拆除后的材料按采购人要求在指定位置堆放整齐</w:t>
            </w:r>
          </w:p>
        </w:tc>
        <w:tc>
          <w:tcPr>
            <w:tcW w:w="660" w:type="dxa"/>
            <w:noWrap w:val="0"/>
            <w:vAlign w:val="center"/>
          </w:tcPr>
          <w:p w14:paraId="0D38676B">
            <w:pPr>
              <w:jc w:val="center"/>
              <w:rPr>
                <w:rFonts w:hint="eastAsia" w:ascii="宋体" w:hAnsi="宋体" w:eastAsia="宋体" w:cs="宋体"/>
                <w:color w:val="auto"/>
                <w:lang w:val="zh-CN"/>
              </w:rPr>
            </w:pPr>
            <w:r>
              <w:rPr>
                <w:rFonts w:hint="eastAsia" w:ascii="宋体" w:hAnsi="宋体" w:eastAsia="宋体" w:cs="宋体"/>
                <w:color w:val="auto"/>
              </w:rPr>
              <w:t>盏</w:t>
            </w:r>
          </w:p>
        </w:tc>
        <w:tc>
          <w:tcPr>
            <w:tcW w:w="675" w:type="dxa"/>
            <w:noWrap w:val="0"/>
            <w:vAlign w:val="center"/>
          </w:tcPr>
          <w:p w14:paraId="0D9C5945">
            <w:pPr>
              <w:jc w:val="center"/>
              <w:rPr>
                <w:rFonts w:hint="eastAsia" w:ascii="宋体" w:hAnsi="宋体" w:eastAsia="宋体" w:cs="宋体"/>
                <w:color w:val="auto"/>
              </w:rPr>
            </w:pPr>
            <w:r>
              <w:rPr>
                <w:rFonts w:hint="eastAsia" w:ascii="宋体" w:hAnsi="宋体" w:eastAsia="宋体" w:cs="宋体"/>
                <w:color w:val="auto"/>
              </w:rPr>
              <w:t>114</w:t>
            </w:r>
          </w:p>
        </w:tc>
        <w:tc>
          <w:tcPr>
            <w:tcW w:w="880" w:type="dxa"/>
            <w:noWrap w:val="0"/>
            <w:vAlign w:val="center"/>
          </w:tcPr>
          <w:p w14:paraId="213C8355">
            <w:pPr>
              <w:jc w:val="center"/>
              <w:rPr>
                <w:rFonts w:hint="eastAsia" w:ascii="宋体" w:hAnsi="宋体" w:eastAsia="宋体" w:cs="宋体"/>
                <w:color w:val="auto"/>
              </w:rPr>
            </w:pPr>
          </w:p>
        </w:tc>
        <w:tc>
          <w:tcPr>
            <w:tcW w:w="845" w:type="dxa"/>
            <w:noWrap w:val="0"/>
            <w:vAlign w:val="center"/>
          </w:tcPr>
          <w:p w14:paraId="6D60FD97">
            <w:pPr>
              <w:jc w:val="center"/>
              <w:rPr>
                <w:rFonts w:hint="eastAsia" w:ascii="宋体" w:hAnsi="宋体" w:eastAsia="宋体" w:cs="宋体"/>
                <w:color w:val="auto"/>
              </w:rPr>
            </w:pPr>
          </w:p>
        </w:tc>
        <w:tc>
          <w:tcPr>
            <w:tcW w:w="1140" w:type="dxa"/>
            <w:noWrap w:val="0"/>
            <w:vAlign w:val="center"/>
          </w:tcPr>
          <w:p w14:paraId="0E546AEB">
            <w:pPr>
              <w:jc w:val="center"/>
              <w:rPr>
                <w:rFonts w:hint="eastAsia" w:ascii="宋体" w:hAnsi="宋体" w:eastAsia="宋体" w:cs="宋体"/>
                <w:color w:val="auto"/>
                <w:lang w:val="zh-CN"/>
              </w:rPr>
            </w:pPr>
          </w:p>
        </w:tc>
        <w:tc>
          <w:tcPr>
            <w:tcW w:w="1155" w:type="dxa"/>
            <w:noWrap w:val="0"/>
            <w:vAlign w:val="center"/>
          </w:tcPr>
          <w:p w14:paraId="7532C790">
            <w:pPr>
              <w:jc w:val="center"/>
              <w:rPr>
                <w:rFonts w:hint="eastAsia" w:ascii="宋体" w:hAnsi="宋体" w:eastAsia="宋体" w:cs="宋体"/>
                <w:color w:val="auto"/>
                <w:lang w:val="zh-CN"/>
              </w:rPr>
            </w:pPr>
          </w:p>
        </w:tc>
        <w:tc>
          <w:tcPr>
            <w:tcW w:w="870" w:type="dxa"/>
            <w:noWrap w:val="0"/>
            <w:vAlign w:val="center"/>
          </w:tcPr>
          <w:p w14:paraId="2D6FBEA4">
            <w:pPr>
              <w:jc w:val="center"/>
              <w:rPr>
                <w:rFonts w:hint="eastAsia" w:ascii="宋体" w:hAnsi="宋体" w:eastAsia="宋体" w:cs="宋体"/>
                <w:color w:val="auto"/>
                <w:lang w:val="zh-CN"/>
              </w:rPr>
            </w:pPr>
            <w:r>
              <w:rPr>
                <w:rFonts w:hint="eastAsia" w:ascii="宋体" w:hAnsi="宋体" w:eastAsia="宋体" w:cs="宋体"/>
                <w:color w:val="auto"/>
                <w:lang w:val="zh-CN"/>
              </w:rPr>
              <w:t>是</w:t>
            </w:r>
          </w:p>
        </w:tc>
      </w:tr>
      <w:tr w14:paraId="3A97E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4" w:type="dxa"/>
            <w:noWrap w:val="0"/>
            <w:vAlign w:val="center"/>
          </w:tcPr>
          <w:p w14:paraId="0542B06B">
            <w:pPr>
              <w:jc w:val="center"/>
              <w:rPr>
                <w:rFonts w:hint="eastAsia" w:ascii="宋体" w:hAnsi="宋体" w:eastAsia="宋体" w:cs="宋体"/>
                <w:color w:val="auto"/>
              </w:rPr>
            </w:pPr>
            <w:r>
              <w:rPr>
                <w:rFonts w:hint="eastAsia" w:ascii="宋体" w:hAnsi="宋体" w:eastAsia="宋体" w:cs="宋体"/>
                <w:color w:val="auto"/>
              </w:rPr>
              <w:t>养护服务部分</w:t>
            </w:r>
          </w:p>
        </w:tc>
        <w:tc>
          <w:tcPr>
            <w:tcW w:w="1325" w:type="dxa"/>
            <w:noWrap w:val="0"/>
            <w:vAlign w:val="center"/>
          </w:tcPr>
          <w:p w14:paraId="54041ACC">
            <w:pPr>
              <w:jc w:val="center"/>
              <w:rPr>
                <w:rFonts w:hint="eastAsia" w:ascii="宋体" w:hAnsi="宋体" w:eastAsia="宋体" w:cs="宋体"/>
                <w:color w:val="auto"/>
              </w:rPr>
            </w:pPr>
            <w:r>
              <w:rPr>
                <w:rStyle w:val="25"/>
                <w:rFonts w:hint="eastAsia" w:ascii="宋体" w:hAnsi="宋体" w:eastAsia="宋体" w:cs="宋体"/>
                <w:color w:val="auto"/>
                <w:sz w:val="22"/>
                <w:szCs w:val="22"/>
              </w:rPr>
              <w:t>太阳能路灯维护</w:t>
            </w:r>
          </w:p>
        </w:tc>
        <w:tc>
          <w:tcPr>
            <w:tcW w:w="2950" w:type="dxa"/>
            <w:noWrap w:val="0"/>
            <w:vAlign w:val="center"/>
          </w:tcPr>
          <w:p w14:paraId="258B7CCB">
            <w:pPr>
              <w:numPr>
                <w:ilvl w:val="0"/>
                <w:numId w:val="1"/>
              </w:numPr>
              <w:rPr>
                <w:rFonts w:hint="eastAsia" w:ascii="宋体" w:hAnsi="宋体" w:eastAsia="宋体" w:cs="宋体"/>
                <w:color w:val="auto"/>
              </w:rPr>
            </w:pPr>
            <w:r>
              <w:rPr>
                <w:rFonts w:hint="eastAsia" w:ascii="宋体" w:hAnsi="宋体" w:eastAsia="宋体" w:cs="宋体"/>
                <w:color w:val="auto"/>
              </w:rPr>
              <w:t>维护数量：3082盏</w:t>
            </w:r>
          </w:p>
          <w:p w14:paraId="22D8F1FA">
            <w:pPr>
              <w:numPr>
                <w:ilvl w:val="0"/>
                <w:numId w:val="1"/>
              </w:numPr>
              <w:rPr>
                <w:rFonts w:hint="eastAsia" w:ascii="宋体" w:hAnsi="宋体" w:eastAsia="宋体" w:cs="宋体"/>
                <w:color w:val="auto"/>
              </w:rPr>
            </w:pPr>
            <w:r>
              <w:rPr>
                <w:rStyle w:val="25"/>
                <w:rFonts w:hint="eastAsia" w:ascii="宋体" w:hAnsi="宋体" w:eastAsia="宋体" w:cs="宋体"/>
                <w:color w:val="auto"/>
                <w:szCs w:val="21"/>
              </w:rPr>
              <w:t>达到路灯养护考核标准</w:t>
            </w:r>
          </w:p>
        </w:tc>
        <w:tc>
          <w:tcPr>
            <w:tcW w:w="660" w:type="dxa"/>
            <w:noWrap w:val="0"/>
            <w:vAlign w:val="center"/>
          </w:tcPr>
          <w:p w14:paraId="302957C5">
            <w:pPr>
              <w:jc w:val="center"/>
              <w:rPr>
                <w:rFonts w:hint="eastAsia" w:ascii="宋体" w:hAnsi="宋体" w:eastAsia="宋体" w:cs="宋体"/>
                <w:color w:val="auto"/>
              </w:rPr>
            </w:pPr>
            <w:r>
              <w:rPr>
                <w:rFonts w:hint="eastAsia" w:ascii="宋体" w:hAnsi="宋体" w:eastAsia="宋体" w:cs="宋体"/>
                <w:color w:val="auto"/>
              </w:rPr>
              <w:t>年</w:t>
            </w:r>
          </w:p>
        </w:tc>
        <w:tc>
          <w:tcPr>
            <w:tcW w:w="675" w:type="dxa"/>
            <w:noWrap w:val="0"/>
            <w:vAlign w:val="center"/>
          </w:tcPr>
          <w:p w14:paraId="5EB93796">
            <w:pPr>
              <w:jc w:val="center"/>
              <w:rPr>
                <w:rFonts w:hint="eastAsia" w:ascii="宋体" w:hAnsi="宋体" w:eastAsia="宋体" w:cs="宋体"/>
                <w:color w:val="auto"/>
              </w:rPr>
            </w:pPr>
            <w:r>
              <w:rPr>
                <w:rFonts w:hint="eastAsia" w:ascii="宋体" w:hAnsi="宋体" w:eastAsia="宋体" w:cs="宋体"/>
                <w:color w:val="auto"/>
              </w:rPr>
              <w:t>15</w:t>
            </w:r>
          </w:p>
        </w:tc>
        <w:tc>
          <w:tcPr>
            <w:tcW w:w="880" w:type="dxa"/>
            <w:noWrap w:val="0"/>
            <w:vAlign w:val="center"/>
          </w:tcPr>
          <w:p w14:paraId="6ACD17A9">
            <w:pPr>
              <w:jc w:val="center"/>
              <w:rPr>
                <w:rFonts w:hint="eastAsia" w:ascii="宋体" w:hAnsi="宋体" w:eastAsia="宋体" w:cs="宋体"/>
                <w:color w:val="auto"/>
              </w:rPr>
            </w:pPr>
            <w:r>
              <w:rPr>
                <w:rFonts w:hint="eastAsia" w:ascii="宋体" w:hAnsi="宋体" w:eastAsia="宋体" w:cs="宋体"/>
                <w:color w:val="auto"/>
              </w:rPr>
              <w:t>/</w:t>
            </w:r>
          </w:p>
        </w:tc>
        <w:tc>
          <w:tcPr>
            <w:tcW w:w="845" w:type="dxa"/>
            <w:noWrap w:val="0"/>
            <w:vAlign w:val="center"/>
          </w:tcPr>
          <w:p w14:paraId="6D99E9BA">
            <w:pPr>
              <w:jc w:val="center"/>
              <w:rPr>
                <w:rFonts w:hint="eastAsia" w:ascii="宋体" w:hAnsi="宋体" w:eastAsia="宋体" w:cs="宋体"/>
                <w:color w:val="auto"/>
              </w:rPr>
            </w:pPr>
            <w:r>
              <w:rPr>
                <w:rFonts w:hint="eastAsia" w:ascii="宋体" w:hAnsi="宋体" w:eastAsia="宋体" w:cs="宋体"/>
                <w:color w:val="auto"/>
              </w:rPr>
              <w:t>/</w:t>
            </w:r>
          </w:p>
        </w:tc>
        <w:tc>
          <w:tcPr>
            <w:tcW w:w="1140" w:type="dxa"/>
            <w:noWrap w:val="0"/>
            <w:vAlign w:val="center"/>
          </w:tcPr>
          <w:p w14:paraId="69F113CE">
            <w:pPr>
              <w:jc w:val="center"/>
              <w:rPr>
                <w:rFonts w:hint="eastAsia" w:ascii="宋体" w:hAnsi="宋体" w:eastAsia="宋体" w:cs="宋体"/>
                <w:color w:val="auto"/>
                <w:lang w:val="zh-CN"/>
              </w:rPr>
            </w:pPr>
          </w:p>
        </w:tc>
        <w:tc>
          <w:tcPr>
            <w:tcW w:w="1155" w:type="dxa"/>
            <w:noWrap w:val="0"/>
            <w:vAlign w:val="center"/>
          </w:tcPr>
          <w:p w14:paraId="7B88B52D">
            <w:pPr>
              <w:jc w:val="center"/>
              <w:rPr>
                <w:rFonts w:hint="eastAsia" w:ascii="宋体" w:hAnsi="宋体" w:eastAsia="宋体" w:cs="宋体"/>
                <w:color w:val="auto"/>
                <w:lang w:val="zh-CN"/>
              </w:rPr>
            </w:pPr>
          </w:p>
        </w:tc>
        <w:tc>
          <w:tcPr>
            <w:tcW w:w="870" w:type="dxa"/>
            <w:noWrap w:val="0"/>
            <w:vAlign w:val="center"/>
          </w:tcPr>
          <w:p w14:paraId="0EC3E380">
            <w:pPr>
              <w:jc w:val="center"/>
              <w:rPr>
                <w:rFonts w:hint="eastAsia" w:ascii="宋体" w:hAnsi="宋体" w:eastAsia="宋体" w:cs="宋体"/>
                <w:color w:val="auto"/>
                <w:lang w:val="zh-CN"/>
              </w:rPr>
            </w:pPr>
          </w:p>
        </w:tc>
      </w:tr>
      <w:tr w14:paraId="0F85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099" w:type="dxa"/>
            <w:gridSpan w:val="2"/>
            <w:noWrap w:val="0"/>
            <w:vAlign w:val="center"/>
          </w:tcPr>
          <w:p w14:paraId="5774BE0F">
            <w:pPr>
              <w:pStyle w:val="3"/>
              <w:widowControl/>
              <w:spacing w:line="440" w:lineRule="exact"/>
              <w:jc w:val="center"/>
              <w:textAlignment w:val="baseline"/>
              <w:rPr>
                <w:rFonts w:hint="eastAsia" w:ascii="宋体" w:hAnsi="宋体" w:eastAsia="宋体" w:cs="宋体"/>
                <w:b/>
                <w:bCs/>
                <w:color w:val="auto"/>
                <w:kern w:val="2"/>
                <w:szCs w:val="21"/>
              </w:rPr>
            </w:pPr>
            <w:r>
              <w:rPr>
                <w:rFonts w:hint="eastAsia" w:ascii="宋体" w:hAnsi="宋体" w:eastAsia="宋体" w:cs="宋体"/>
                <w:b/>
                <w:bCs/>
                <w:color w:val="auto"/>
                <w:kern w:val="2"/>
                <w:szCs w:val="21"/>
              </w:rPr>
              <w:t>合计金额</w:t>
            </w:r>
          </w:p>
        </w:tc>
        <w:tc>
          <w:tcPr>
            <w:tcW w:w="9175" w:type="dxa"/>
            <w:gridSpan w:val="8"/>
            <w:noWrap w:val="0"/>
            <w:vAlign w:val="top"/>
          </w:tcPr>
          <w:p w14:paraId="50E69A81">
            <w:pPr>
              <w:pStyle w:val="3"/>
              <w:widowControl/>
              <w:spacing w:line="440" w:lineRule="exact"/>
              <w:jc w:val="center"/>
              <w:textAlignment w:val="baseline"/>
              <w:rPr>
                <w:rFonts w:hint="eastAsia" w:ascii="宋体" w:hAnsi="宋体" w:eastAsia="宋体" w:cs="宋体"/>
                <w:b/>
                <w:bCs/>
                <w:color w:val="auto"/>
                <w:kern w:val="2"/>
                <w:szCs w:val="21"/>
                <w:lang w:val="zh-CN"/>
              </w:rPr>
            </w:pPr>
          </w:p>
        </w:tc>
      </w:tr>
      <w:tr w14:paraId="6E405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1274" w:type="dxa"/>
            <w:gridSpan w:val="10"/>
            <w:noWrap w:val="0"/>
            <w:vAlign w:val="center"/>
          </w:tcPr>
          <w:p w14:paraId="7D9BF233">
            <w:pPr>
              <w:pStyle w:val="3"/>
              <w:widowControl/>
              <w:spacing w:line="440" w:lineRule="exact"/>
              <w:jc w:val="left"/>
              <w:textAlignment w:val="baseline"/>
              <w:rPr>
                <w:rFonts w:hint="eastAsia" w:ascii="宋体" w:hAnsi="宋体" w:eastAsia="宋体" w:cs="宋体"/>
                <w:b/>
                <w:bCs/>
                <w:color w:val="auto"/>
                <w:kern w:val="2"/>
                <w:szCs w:val="21"/>
              </w:rPr>
            </w:pPr>
            <w:r>
              <w:rPr>
                <w:rFonts w:hint="eastAsia" w:ascii="宋体" w:hAnsi="宋体" w:eastAsia="宋体" w:cs="宋体"/>
                <w:b/>
                <w:bCs/>
                <w:color w:val="auto"/>
                <w:kern w:val="2"/>
                <w:szCs w:val="21"/>
              </w:rPr>
              <w:t>备注：</w:t>
            </w:r>
          </w:p>
          <w:p w14:paraId="7E46A006">
            <w:pPr>
              <w:pStyle w:val="3"/>
              <w:widowControl/>
              <w:numPr>
                <w:ilvl w:val="0"/>
                <w:numId w:val="2"/>
              </w:numPr>
              <w:spacing w:line="440" w:lineRule="exact"/>
              <w:jc w:val="left"/>
              <w:textAlignment w:val="baseline"/>
              <w:rPr>
                <w:rFonts w:hint="eastAsia" w:ascii="宋体" w:hAnsi="宋体" w:eastAsia="宋体" w:cs="宋体"/>
                <w:b/>
                <w:bCs/>
                <w:color w:val="auto"/>
                <w:kern w:val="2"/>
                <w:szCs w:val="21"/>
              </w:rPr>
            </w:pPr>
            <w:r>
              <w:rPr>
                <w:rFonts w:hint="eastAsia" w:ascii="宋体" w:hAnsi="宋体" w:eastAsia="宋体" w:cs="宋体"/>
                <w:b/>
                <w:bCs/>
                <w:color w:val="auto"/>
                <w:kern w:val="2"/>
                <w:szCs w:val="21"/>
              </w:rPr>
              <w:t>投标前，请供应商实地考察现场，采购人最终按现场实际情况移交。</w:t>
            </w:r>
          </w:p>
        </w:tc>
      </w:tr>
    </w:tbl>
    <w:p w14:paraId="0EAC9C26">
      <w:pPr>
        <w:keepNext w:val="0"/>
        <w:keepLines w:val="0"/>
        <w:pageBreakBefore w:val="0"/>
        <w:widowControl w:val="0"/>
        <w:kinsoku/>
        <w:wordWrap/>
        <w:overflowPunct/>
        <w:topLinePunct w:val="0"/>
        <w:autoSpaceDE/>
        <w:autoSpaceDN/>
        <w:bidi w:val="0"/>
        <w:adjustRightInd/>
        <w:snapToGrid/>
        <w:spacing w:line="700" w:lineRule="exact"/>
        <w:ind w:right="958"/>
        <w:textAlignment w:val="auto"/>
        <w:rPr>
          <w:rFonts w:ascii="宋体" w:hAnsi="宋体" w:eastAsia="宋体" w:cs="宋体"/>
          <w:color w:val="000000" w:themeColor="text1"/>
          <w:sz w:val="28"/>
          <w:szCs w:val="28"/>
          <w:highlight w:val="none"/>
          <w14:textFill>
            <w14:solidFill>
              <w14:schemeClr w14:val="tx1"/>
            </w14:solidFill>
          </w14:textFill>
        </w:rPr>
      </w:pPr>
    </w:p>
    <w:p w14:paraId="0CB08BE7">
      <w:pPr>
        <w:keepNext w:val="0"/>
        <w:keepLines w:val="0"/>
        <w:pageBreakBefore w:val="0"/>
        <w:widowControl w:val="0"/>
        <w:kinsoku/>
        <w:wordWrap/>
        <w:overflowPunct/>
        <w:topLinePunct w:val="0"/>
        <w:autoSpaceDE/>
        <w:autoSpaceDN/>
        <w:bidi w:val="0"/>
        <w:adjustRightInd/>
        <w:snapToGrid/>
        <w:spacing w:line="700" w:lineRule="exact"/>
        <w:ind w:right="958"/>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ascii="宋体" w:hAnsi="宋体" w:eastAsia="宋体" w:cs="宋体"/>
          <w:color w:val="000000" w:themeColor="text1"/>
          <w:sz w:val="28"/>
          <w:szCs w:val="28"/>
          <w:highlight w:val="none"/>
          <w14:textFill>
            <w14:solidFill>
              <w14:schemeClr w14:val="tx1"/>
            </w14:solidFill>
          </w14:textFill>
        </w:rPr>
        <w:t>报价单位</w:t>
      </w:r>
      <w:r>
        <w:rPr>
          <w:rFonts w:hint="eastAsia" w:ascii="宋体" w:hAnsi="宋体" w:eastAsia="宋体" w:cs="宋体"/>
          <w:color w:val="000000" w:themeColor="text1"/>
          <w:sz w:val="28"/>
          <w:szCs w:val="28"/>
          <w:highlight w:val="none"/>
          <w:lang w:eastAsia="zh-CN"/>
          <w14:textFill>
            <w14:solidFill>
              <w14:schemeClr w14:val="tx1"/>
            </w14:solidFill>
          </w14:textFill>
        </w:rPr>
        <w:t>（盖章）</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p>
    <w:p w14:paraId="3186E668">
      <w:pPr>
        <w:keepNext w:val="0"/>
        <w:keepLines w:val="0"/>
        <w:pageBreakBefore w:val="0"/>
        <w:widowControl w:val="0"/>
        <w:kinsoku/>
        <w:wordWrap/>
        <w:overflowPunct/>
        <w:topLinePunct w:val="0"/>
        <w:autoSpaceDE/>
        <w:autoSpaceDN/>
        <w:bidi w:val="0"/>
        <w:adjustRightInd/>
        <w:snapToGrid/>
        <w:spacing w:line="700" w:lineRule="exact"/>
        <w:ind w:right="958"/>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报价单位联系人：</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p>
    <w:p w14:paraId="4288861E">
      <w:pPr>
        <w:keepNext w:val="0"/>
        <w:keepLines w:val="0"/>
        <w:pageBreakBefore w:val="0"/>
        <w:widowControl w:val="0"/>
        <w:kinsoku/>
        <w:wordWrap/>
        <w:overflowPunct/>
        <w:topLinePunct w:val="0"/>
        <w:autoSpaceDE/>
        <w:autoSpaceDN/>
        <w:bidi w:val="0"/>
        <w:adjustRightInd/>
        <w:snapToGrid/>
        <w:spacing w:line="700" w:lineRule="exact"/>
        <w:ind w:right="958"/>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联系电话：</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p>
    <w:p w14:paraId="5E479616">
      <w:pPr>
        <w:keepNext w:val="0"/>
        <w:keepLines w:val="0"/>
        <w:pageBreakBefore w:val="0"/>
        <w:widowControl w:val="0"/>
        <w:kinsoku/>
        <w:wordWrap/>
        <w:overflowPunct/>
        <w:topLinePunct w:val="0"/>
        <w:autoSpaceDE/>
        <w:autoSpaceDN/>
        <w:bidi w:val="0"/>
        <w:adjustRightInd/>
        <w:snapToGrid/>
        <w:spacing w:line="700" w:lineRule="exact"/>
        <w:ind w:right="958"/>
        <w:textAlignment w:val="auto"/>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日期：</w:t>
      </w:r>
    </w:p>
    <w:p w14:paraId="011390AA">
      <w:pPr>
        <w:pStyle w:val="3"/>
        <w:spacing w:after="0" w:line="440" w:lineRule="exact"/>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1" w:fontKey="{D07DC78E-9D6D-441F-A9F6-F5127C815FA9}"/>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3F0E0D48-9853-4FB2-AEDF-BCD6CBC7A97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6300F7"/>
    <w:multiLevelType w:val="singleLevel"/>
    <w:tmpl w:val="B16300F7"/>
    <w:lvl w:ilvl="0" w:tentative="0">
      <w:start w:val="1"/>
      <w:numFmt w:val="decimal"/>
      <w:suff w:val="nothing"/>
      <w:lvlText w:val="%1、"/>
      <w:lvlJc w:val="left"/>
    </w:lvl>
  </w:abstractNum>
  <w:abstractNum w:abstractNumId="1">
    <w:nsid w:val="418BC4D1"/>
    <w:multiLevelType w:val="singleLevel"/>
    <w:tmpl w:val="418BC4D1"/>
    <w:lvl w:ilvl="0" w:tentative="0">
      <w:start w:val="1"/>
      <w:numFmt w:val="decimal"/>
      <w:suff w:val="nothing"/>
      <w:lvlText w:val="%1、"/>
      <w:lvlJc w:val="left"/>
      <w:rPr>
        <w:rFonts w:hint="default"/>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3MmM5MWJiZjdkNTc1YmVlNzM4NDhiMzJlNjBmOGEifQ=="/>
  </w:docVars>
  <w:rsids>
    <w:rsidRoot w:val="00A27ECB"/>
    <w:rsid w:val="000338E7"/>
    <w:rsid w:val="000F0B61"/>
    <w:rsid w:val="000F160D"/>
    <w:rsid w:val="0021074D"/>
    <w:rsid w:val="00284EF9"/>
    <w:rsid w:val="00334424"/>
    <w:rsid w:val="0043487E"/>
    <w:rsid w:val="004912DF"/>
    <w:rsid w:val="00517695"/>
    <w:rsid w:val="00532872"/>
    <w:rsid w:val="00682D10"/>
    <w:rsid w:val="006B0C80"/>
    <w:rsid w:val="006D6D1D"/>
    <w:rsid w:val="007B4D30"/>
    <w:rsid w:val="008723FC"/>
    <w:rsid w:val="00A27ECB"/>
    <w:rsid w:val="00A85542"/>
    <w:rsid w:val="00AB3479"/>
    <w:rsid w:val="00EF054D"/>
    <w:rsid w:val="00FB6B8D"/>
    <w:rsid w:val="0482288A"/>
    <w:rsid w:val="0708176C"/>
    <w:rsid w:val="076444C8"/>
    <w:rsid w:val="07A86785"/>
    <w:rsid w:val="07DB6F56"/>
    <w:rsid w:val="07FD02E0"/>
    <w:rsid w:val="0A085690"/>
    <w:rsid w:val="0A5A0C17"/>
    <w:rsid w:val="0A7955CC"/>
    <w:rsid w:val="0AE156E0"/>
    <w:rsid w:val="0B237FC3"/>
    <w:rsid w:val="0C036AC4"/>
    <w:rsid w:val="0CCB413E"/>
    <w:rsid w:val="0CF70660"/>
    <w:rsid w:val="0D28102F"/>
    <w:rsid w:val="0E345BCE"/>
    <w:rsid w:val="0EA6730A"/>
    <w:rsid w:val="1002041D"/>
    <w:rsid w:val="109A3FBA"/>
    <w:rsid w:val="12887C05"/>
    <w:rsid w:val="15951A00"/>
    <w:rsid w:val="16581F4E"/>
    <w:rsid w:val="1774573A"/>
    <w:rsid w:val="17EF207D"/>
    <w:rsid w:val="189B49B1"/>
    <w:rsid w:val="19046827"/>
    <w:rsid w:val="1A3635D7"/>
    <w:rsid w:val="1AA475E6"/>
    <w:rsid w:val="1BCB5FDA"/>
    <w:rsid w:val="1DD1211E"/>
    <w:rsid w:val="201F3AF4"/>
    <w:rsid w:val="228D3231"/>
    <w:rsid w:val="25B85CB3"/>
    <w:rsid w:val="25CB6EEF"/>
    <w:rsid w:val="275B4084"/>
    <w:rsid w:val="27800A53"/>
    <w:rsid w:val="28C35012"/>
    <w:rsid w:val="2A7C06DC"/>
    <w:rsid w:val="2A992058"/>
    <w:rsid w:val="2AA72387"/>
    <w:rsid w:val="2C827C90"/>
    <w:rsid w:val="2CDA369D"/>
    <w:rsid w:val="2D7546C3"/>
    <w:rsid w:val="2E3F02DC"/>
    <w:rsid w:val="2E8F66C2"/>
    <w:rsid w:val="2E910948"/>
    <w:rsid w:val="311B65C9"/>
    <w:rsid w:val="32CB1378"/>
    <w:rsid w:val="33454BB4"/>
    <w:rsid w:val="342B6231"/>
    <w:rsid w:val="36810783"/>
    <w:rsid w:val="3C6016DB"/>
    <w:rsid w:val="3DFA1F91"/>
    <w:rsid w:val="3E6954C4"/>
    <w:rsid w:val="402F3FE8"/>
    <w:rsid w:val="404560A4"/>
    <w:rsid w:val="41483AFE"/>
    <w:rsid w:val="42B37AAC"/>
    <w:rsid w:val="43A93F3B"/>
    <w:rsid w:val="44A06C0B"/>
    <w:rsid w:val="44F93D1E"/>
    <w:rsid w:val="4B261723"/>
    <w:rsid w:val="4E1E1048"/>
    <w:rsid w:val="4E453CD9"/>
    <w:rsid w:val="50C62575"/>
    <w:rsid w:val="52662CD9"/>
    <w:rsid w:val="52C6636B"/>
    <w:rsid w:val="53302BC4"/>
    <w:rsid w:val="54B157E5"/>
    <w:rsid w:val="54EE3DAD"/>
    <w:rsid w:val="564E08AE"/>
    <w:rsid w:val="56786269"/>
    <w:rsid w:val="56957978"/>
    <w:rsid w:val="58EC75BC"/>
    <w:rsid w:val="5BD87EF6"/>
    <w:rsid w:val="5C351F4B"/>
    <w:rsid w:val="5CA60982"/>
    <w:rsid w:val="5EBF1726"/>
    <w:rsid w:val="5F4721B4"/>
    <w:rsid w:val="5F5D4BFA"/>
    <w:rsid w:val="5F7D2E08"/>
    <w:rsid w:val="610331B8"/>
    <w:rsid w:val="61B4360C"/>
    <w:rsid w:val="61E84C4F"/>
    <w:rsid w:val="63353BF8"/>
    <w:rsid w:val="634C7460"/>
    <w:rsid w:val="63CA74D9"/>
    <w:rsid w:val="659133FD"/>
    <w:rsid w:val="676A061C"/>
    <w:rsid w:val="68E6743F"/>
    <w:rsid w:val="694466A0"/>
    <w:rsid w:val="6B4A6DC0"/>
    <w:rsid w:val="6B516802"/>
    <w:rsid w:val="6CF225B4"/>
    <w:rsid w:val="6D7D0BC2"/>
    <w:rsid w:val="6E002B1B"/>
    <w:rsid w:val="6E1C0014"/>
    <w:rsid w:val="70A6131C"/>
    <w:rsid w:val="714F71E6"/>
    <w:rsid w:val="72431297"/>
    <w:rsid w:val="747A0E12"/>
    <w:rsid w:val="75953BA3"/>
    <w:rsid w:val="75A924F0"/>
    <w:rsid w:val="784E2990"/>
    <w:rsid w:val="78611435"/>
    <w:rsid w:val="79C1085A"/>
    <w:rsid w:val="7A37596A"/>
    <w:rsid w:val="7B4E7DC1"/>
    <w:rsid w:val="7BB427E8"/>
    <w:rsid w:val="7CCC1AD3"/>
    <w:rsid w:val="7FD03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1"/>
      <w:lang w:val="en-US" w:eastAsia="zh-CN" w:bidi="ar-SA"/>
    </w:rPr>
  </w:style>
  <w:style w:type="paragraph" w:styleId="2">
    <w:name w:val="heading 4"/>
    <w:basedOn w:val="1"/>
    <w:next w:val="1"/>
    <w:qFormat/>
    <w:uiPriority w:val="9"/>
    <w:pPr>
      <w:spacing w:before="100" w:beforeAutospacing="1" w:after="100" w:afterAutospacing="1"/>
      <w:jc w:val="left"/>
      <w:outlineLvl w:val="3"/>
    </w:pPr>
    <w:rPr>
      <w:rFonts w:ascii="宋体" w:hAnsi="宋体"/>
      <w:kern w:val="0"/>
      <w:sz w:val="24"/>
      <w:szCs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customStyle="1" w:styleId="4">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5">
    <w:name w:val="Body Text Indent"/>
    <w:basedOn w:val="1"/>
    <w:next w:val="6"/>
    <w:qFormat/>
    <w:uiPriority w:val="0"/>
    <w:pPr>
      <w:ind w:firstLine="660"/>
    </w:pPr>
    <w:rPr>
      <w:rFonts w:ascii="宋体" w:hAnsi="宋体"/>
      <w:color w:val="000000"/>
      <w:sz w:val="24"/>
      <w:szCs w:val="20"/>
    </w:rPr>
  </w:style>
  <w:style w:type="paragraph" w:styleId="6">
    <w:name w:val="envelope return"/>
    <w:basedOn w:val="1"/>
    <w:unhideWhenUsed/>
    <w:qFormat/>
    <w:uiPriority w:val="99"/>
    <w:pPr>
      <w:snapToGrid w:val="0"/>
    </w:pPr>
    <w:rPr>
      <w:rFonts w:ascii="Arial" w:hAnsi="Arial"/>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100" w:beforeAutospacing="1" w:after="100" w:afterAutospacing="1"/>
      <w:jc w:val="left"/>
      <w:textAlignment w:val="auto"/>
    </w:pPr>
    <w:rPr>
      <w:rFonts w:ascii="宋体" w:hAnsi="宋体" w:cs="宋体"/>
      <w:kern w:val="0"/>
      <w:sz w:val="24"/>
      <w:szCs w:val="24"/>
    </w:rPr>
  </w:style>
  <w:style w:type="paragraph" w:styleId="10">
    <w:name w:val="Body Text First Indent"/>
    <w:basedOn w:val="3"/>
    <w:next w:val="11"/>
    <w:qFormat/>
    <w:uiPriority w:val="0"/>
    <w:pPr>
      <w:ind w:firstLine="420" w:firstLineChars="100"/>
    </w:pPr>
  </w:style>
  <w:style w:type="paragraph" w:styleId="11">
    <w:name w:val="Body Text First Indent 2"/>
    <w:basedOn w:val="5"/>
    <w:next w:val="10"/>
    <w:qFormat/>
    <w:uiPriority w:val="99"/>
    <w:pPr>
      <w:spacing w:after="120"/>
      <w:ind w:left="200" w:leftChars="200" w:firstLine="200" w:firstLineChars="200"/>
      <w:textAlignment w:val="auto"/>
    </w:pPr>
    <w:rPr>
      <w:rFonts w:ascii="Calibri" w:hAnsi="Calibri" w:cs="Calibri"/>
      <w:sz w:val="21"/>
      <w:szCs w:val="21"/>
    </w:rPr>
  </w:style>
  <w:style w:type="table" w:styleId="13">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Strong"/>
    <w:basedOn w:val="14"/>
    <w:qFormat/>
    <w:uiPriority w:val="22"/>
    <w:rPr>
      <w:b/>
    </w:rPr>
  </w:style>
  <w:style w:type="character" w:styleId="16">
    <w:name w:val="page number"/>
    <w:qFormat/>
    <w:uiPriority w:val="0"/>
  </w:style>
  <w:style w:type="paragraph" w:customStyle="1" w:styleId="17">
    <w:name w:val="正文1"/>
    <w:basedOn w:val="1"/>
    <w:next w:val="1"/>
    <w:qFormat/>
    <w:uiPriority w:val="0"/>
    <w:pPr>
      <w:ind w:firstLine="540"/>
    </w:pPr>
    <w:rPr>
      <w:szCs w:val="20"/>
    </w:rPr>
  </w:style>
  <w:style w:type="paragraph" w:customStyle="1" w:styleId="18">
    <w:name w:val="目录 71"/>
    <w:basedOn w:val="1"/>
    <w:next w:val="1"/>
    <w:qFormat/>
    <w:uiPriority w:val="0"/>
    <w:pPr>
      <w:ind w:left="2520"/>
    </w:pPr>
    <w:rPr>
      <w:rFonts w:ascii="Calibri"/>
    </w:rPr>
  </w:style>
  <w:style w:type="character" w:customStyle="1" w:styleId="19">
    <w:name w:val="页眉 字符"/>
    <w:basedOn w:val="14"/>
    <w:link w:val="8"/>
    <w:qFormat/>
    <w:uiPriority w:val="99"/>
    <w:rPr>
      <w:sz w:val="18"/>
      <w:szCs w:val="18"/>
    </w:rPr>
  </w:style>
  <w:style w:type="character" w:customStyle="1" w:styleId="20">
    <w:name w:val="页脚 字符"/>
    <w:basedOn w:val="14"/>
    <w:link w:val="7"/>
    <w:qFormat/>
    <w:uiPriority w:val="99"/>
    <w:rPr>
      <w:sz w:val="18"/>
      <w:szCs w:val="18"/>
    </w:rPr>
  </w:style>
  <w:style w:type="character" w:customStyle="1" w:styleId="21">
    <w:name w:val="NormalCharacter"/>
    <w:qFormat/>
    <w:uiPriority w:val="99"/>
  </w:style>
  <w:style w:type="character" w:customStyle="1" w:styleId="22">
    <w:name w:val="font01"/>
    <w:basedOn w:val="14"/>
    <w:qFormat/>
    <w:uiPriority w:val="0"/>
    <w:rPr>
      <w:rFonts w:hint="eastAsia" w:ascii="宋体" w:hAnsi="宋体" w:eastAsia="宋体" w:cs="宋体"/>
      <w:color w:val="FF0000"/>
      <w:sz w:val="22"/>
      <w:szCs w:val="22"/>
      <w:u w:val="none"/>
    </w:rPr>
  </w:style>
  <w:style w:type="character" w:customStyle="1" w:styleId="23">
    <w:name w:val="font51"/>
    <w:basedOn w:val="14"/>
    <w:qFormat/>
    <w:uiPriority w:val="0"/>
    <w:rPr>
      <w:rFonts w:hint="eastAsia" w:ascii="宋体" w:hAnsi="宋体" w:eastAsia="宋体" w:cs="宋体"/>
      <w:color w:val="000000"/>
      <w:sz w:val="22"/>
      <w:szCs w:val="22"/>
      <w:u w:val="none"/>
    </w:rPr>
  </w:style>
  <w:style w:type="paragraph" w:styleId="24">
    <w:name w:val="List Paragraph"/>
    <w:basedOn w:val="1"/>
    <w:qFormat/>
    <w:uiPriority w:val="99"/>
    <w:pPr>
      <w:ind w:firstLine="420" w:firstLineChars="200"/>
    </w:pPr>
    <w:rPr>
      <w:kern w:val="0"/>
      <w:sz w:val="20"/>
      <w:szCs w:val="20"/>
    </w:rPr>
  </w:style>
  <w:style w:type="character" w:customStyle="1" w:styleId="25">
    <w:name w:val="NormalCharacter1"/>
    <w:qFormat/>
    <w:uiPriority w:val="0"/>
    <w:rPr>
      <w:rFonts w:ascii="Times New Roman" w:hAnsi="Times New Roman" w:eastAsia="宋体" w:cs="Times New Roman"/>
      <w:kern w:val="2"/>
      <w:sz w:val="21"/>
      <w:szCs w:val="21"/>
      <w:lang w:val="en-US" w:eastAsia="zh-CN" w:bidi="ar-SA"/>
    </w:rPr>
  </w:style>
  <w:style w:type="paragraph" w:customStyle="1" w:styleId="26">
    <w:name w:val="正文文本11"/>
    <w:basedOn w:val="1"/>
    <w:next w:val="1"/>
    <w:qFormat/>
    <w:uiPriority w:val="0"/>
    <w:rPr>
      <w:rFonts w:ascii="仿宋_GB2312" w:eastAsia="仿宋_GB2312"/>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E067D-C762-4092-B864-C6A38B61EEED}">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6827</Words>
  <Characters>7057</Characters>
  <Lines>51</Lines>
  <Paragraphs>14</Paragraphs>
  <TotalTime>5</TotalTime>
  <ScaleCrop>false</ScaleCrop>
  <LinksUpToDate>false</LinksUpToDate>
  <CharactersWithSpaces>7104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2022-08-22T07:59:00Z</dcterms:created>
  <dc:creator>⟌φ⣌φ</dc:creator>
  <cp:lastModifiedBy>吴嘉丽</cp:lastModifiedBy>
  <dcterms:modified xsi:type="dcterms:W3CDTF">2026-01-07T03:18:09Z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9DA363220E694DFF981047A8EA8A234A_13</vt:lpwstr>
  </property>
  <property fmtid="{D5CDD505-2E9C-101B-9397-08002B2CF9AE}" pid="4" name="KSOTemplateDocerSaveRecord">
    <vt:lpwstr>eyJoZGlkIjoiNWU2MDc1YjFhNjNiZTEzNzYzZTFmZmM3ZjI1MjA0NTciLCJ1c2VySWQiOiI1MDE0NzQxNzgifQ==</vt:lpwstr>
  </property>
</Properties>
</file>