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6A41">
      <w:pPr>
        <w:widowControl/>
        <w:adjustRightInd w:val="0"/>
        <w:snapToGrid w:val="0"/>
        <w:spacing w:line="590" w:lineRule="exact"/>
        <w:rPr>
          <w:rFonts w:ascii="仿宋" w:eastAsia="仿宋" w:hAnsi="仿宋" w:cs="仿宋" w:hint="eastAsia"/>
          <w:color w:val="333333"/>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1</w:t>
      </w:r>
    </w:p>
    <w:p w:rsidR="00000000" w:rsidRDefault="00866A41">
      <w:pPr>
        <w:spacing w:line="590" w:lineRule="exact"/>
        <w:jc w:val="center"/>
        <w:rPr>
          <w:rFonts w:ascii="黑体" w:eastAsia="黑体" w:hAnsi="黑体" w:cs="黑体" w:hint="eastAsia"/>
          <w:sz w:val="44"/>
          <w:szCs w:val="44"/>
        </w:rPr>
      </w:pPr>
      <w:r>
        <w:rPr>
          <w:rFonts w:ascii="黑体" w:eastAsia="黑体" w:hAnsi="黑体" w:cs="黑体" w:hint="eastAsia"/>
          <w:sz w:val="44"/>
          <w:szCs w:val="44"/>
        </w:rPr>
        <w:t>电动自行车停放、充电场所防火技术要点</w:t>
      </w:r>
    </w:p>
    <w:p w:rsidR="00000000" w:rsidRDefault="00866A41">
      <w:pPr>
        <w:spacing w:line="590" w:lineRule="exact"/>
        <w:ind w:firstLineChars="200" w:firstLine="640"/>
        <w:rPr>
          <w:rFonts w:ascii="仿宋" w:eastAsia="仿宋" w:hAnsi="仿宋" w:cs="仿宋" w:hint="eastAsia"/>
          <w:sz w:val="32"/>
          <w:szCs w:val="32"/>
        </w:rPr>
      </w:pP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一、电动自行车停放、充电场所应合理确定位置，宜设置在室外露天区域，该区域与建筑外墙窗洞口外沿、安全出口的间距不应小于</w:t>
      </w:r>
      <w:r>
        <w:rPr>
          <w:rFonts w:ascii="仿宋" w:eastAsia="仿宋" w:hAnsi="仿宋" w:cs="仿宋" w:hint="eastAsia"/>
          <w:sz w:val="32"/>
          <w:szCs w:val="32"/>
        </w:rPr>
        <w:t>6m</w:t>
      </w:r>
      <w:r>
        <w:rPr>
          <w:rFonts w:ascii="仿宋" w:eastAsia="仿宋" w:hAnsi="仿宋" w:cs="仿宋" w:hint="eastAsia"/>
          <w:sz w:val="32"/>
          <w:szCs w:val="32"/>
        </w:rPr>
        <w:t>。</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二、电动自行车停放、充电场所设置在室外时，不得占用防火间距、消防车道和消防车登高操作场地，不得妨碍消防车</w:t>
      </w:r>
      <w:r>
        <w:rPr>
          <w:rFonts w:ascii="仿宋" w:eastAsia="仿宋" w:hAnsi="仿宋" w:cs="仿宋" w:hint="eastAsia"/>
          <w:sz w:val="32"/>
          <w:szCs w:val="32"/>
        </w:rPr>
        <w:t>操作和影响室外消防设施的正常使用；设置在室内时，不得占用、堵塞安全出口和疏散通道，不得影响室内消防设施的正常使用。</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三、受场地环境限制，电动自行车集中停放、充电场所必须附设在建筑内时，应符合下列规定：</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应设置在建筑首层，确有困难时，可设置在地下一层。设置在首层时，一个防火分区的面积不大于</w:t>
      </w:r>
      <w:r>
        <w:rPr>
          <w:rFonts w:ascii="仿宋" w:eastAsia="仿宋" w:hAnsi="仿宋" w:cs="仿宋" w:hint="eastAsia"/>
          <w:sz w:val="32"/>
          <w:szCs w:val="32"/>
        </w:rPr>
        <w:t>1400m</w:t>
      </w:r>
      <w:r>
        <w:rPr>
          <w:rFonts w:ascii="仿宋" w:eastAsia="仿宋" w:hAnsi="仿宋" w:cs="仿宋" w:hint="eastAsia"/>
          <w:sz w:val="32"/>
          <w:szCs w:val="32"/>
          <w:vertAlign w:val="superscript"/>
        </w:rPr>
        <w:t>2</w:t>
      </w:r>
      <w:r>
        <w:rPr>
          <w:rFonts w:ascii="仿宋" w:eastAsia="仿宋" w:hAnsi="仿宋" w:cs="仿宋" w:hint="eastAsia"/>
          <w:sz w:val="32"/>
          <w:szCs w:val="32"/>
        </w:rPr>
        <w:t>，设置在地下一层时，一个防火分区的面积不大于</w:t>
      </w:r>
      <w:r>
        <w:rPr>
          <w:rFonts w:ascii="仿宋" w:eastAsia="仿宋" w:hAnsi="仿宋" w:cs="仿宋" w:hint="eastAsia"/>
          <w:sz w:val="32"/>
          <w:szCs w:val="32"/>
        </w:rPr>
        <w:t>500m</w:t>
      </w:r>
      <w:r>
        <w:rPr>
          <w:rFonts w:ascii="仿宋" w:eastAsia="仿宋" w:hAnsi="仿宋" w:cs="仿宋" w:hint="eastAsia"/>
          <w:sz w:val="32"/>
          <w:szCs w:val="32"/>
          <w:vertAlign w:val="superscript"/>
        </w:rPr>
        <w:t>2</w:t>
      </w:r>
      <w:r>
        <w:rPr>
          <w:rFonts w:ascii="仿宋" w:eastAsia="仿宋" w:hAnsi="仿宋" w:cs="仿宋" w:hint="eastAsia"/>
          <w:sz w:val="32"/>
          <w:szCs w:val="32"/>
        </w:rPr>
        <w:t>。（设置自动灭火系统时，防火分区面积不增加）</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应采用耐火极限不低于</w:t>
      </w:r>
      <w:r>
        <w:rPr>
          <w:rFonts w:ascii="仿宋" w:eastAsia="仿宋" w:hAnsi="仿宋" w:cs="仿宋" w:hint="eastAsia"/>
          <w:sz w:val="32"/>
          <w:szCs w:val="32"/>
        </w:rPr>
        <w:t>1.5h</w:t>
      </w:r>
      <w:r>
        <w:rPr>
          <w:rFonts w:ascii="仿宋" w:eastAsia="仿宋" w:hAnsi="仿宋" w:cs="仿宋" w:hint="eastAsia"/>
          <w:sz w:val="32"/>
          <w:szCs w:val="32"/>
        </w:rPr>
        <w:t>的楼板、</w:t>
      </w:r>
      <w:r>
        <w:rPr>
          <w:rFonts w:ascii="仿宋" w:eastAsia="仿宋" w:hAnsi="仿宋" w:cs="仿宋" w:hint="eastAsia"/>
          <w:sz w:val="32"/>
          <w:szCs w:val="32"/>
        </w:rPr>
        <w:t>2.00h</w:t>
      </w:r>
      <w:r>
        <w:rPr>
          <w:rFonts w:ascii="仿宋" w:eastAsia="仿宋" w:hAnsi="仿宋" w:cs="仿宋" w:hint="eastAsia"/>
          <w:sz w:val="32"/>
          <w:szCs w:val="32"/>
        </w:rPr>
        <w:t>的防火隔墙和甲级防火门与其他区域严格分隔。经常有人员出入处</w:t>
      </w:r>
      <w:r>
        <w:rPr>
          <w:rFonts w:ascii="仿宋" w:eastAsia="仿宋" w:hAnsi="仿宋" w:cs="仿宋" w:hint="eastAsia"/>
          <w:sz w:val="32"/>
          <w:szCs w:val="32"/>
        </w:rPr>
        <w:t>的防火门，应设置火灾时能自动关闭的常开式甲级防火门。</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每个防火分区的安全出口，不应少于</w:t>
      </w:r>
      <w:r>
        <w:rPr>
          <w:rFonts w:ascii="仿宋" w:eastAsia="仿宋" w:hAnsi="仿宋" w:cs="仿宋" w:hint="eastAsia"/>
          <w:sz w:val="32"/>
          <w:szCs w:val="32"/>
        </w:rPr>
        <w:t>2</w:t>
      </w:r>
      <w:r>
        <w:rPr>
          <w:rFonts w:ascii="仿宋" w:eastAsia="仿宋" w:hAnsi="仿宋" w:cs="仿宋" w:hint="eastAsia"/>
          <w:sz w:val="32"/>
          <w:szCs w:val="32"/>
        </w:rPr>
        <w:t>个，且必须有一个直通室外的安全出口。用于电动自行车推行的坡道，可作为安全出口使用。室内任一点至最近疏散门或安全出口的直线距离不应</w:t>
      </w:r>
      <w:r>
        <w:rPr>
          <w:rFonts w:ascii="仿宋" w:eastAsia="仿宋" w:hAnsi="仿宋" w:cs="仿宋" w:hint="eastAsia"/>
          <w:sz w:val="32"/>
          <w:szCs w:val="32"/>
        </w:rPr>
        <w:lastRenderedPageBreak/>
        <w:t>大于</w:t>
      </w:r>
      <w:r>
        <w:rPr>
          <w:rFonts w:ascii="仿宋" w:eastAsia="仿宋" w:hAnsi="仿宋" w:cs="仿宋" w:hint="eastAsia"/>
          <w:sz w:val="32"/>
          <w:szCs w:val="32"/>
        </w:rPr>
        <w:t>37.5m</w:t>
      </w:r>
      <w:r>
        <w:rPr>
          <w:rFonts w:ascii="仿宋" w:eastAsia="仿宋" w:hAnsi="仿宋" w:cs="仿宋" w:hint="eastAsia"/>
          <w:sz w:val="32"/>
          <w:szCs w:val="32"/>
        </w:rPr>
        <w:t>（设置自动喷水灭火系统时，距离不增加）。</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hint="eastAsia"/>
          <w:sz w:val="32"/>
          <w:szCs w:val="32"/>
        </w:rPr>
        <w:t>应划定停放充电区域和疏散通道区域，沿走道双面布置停放电动自行车车位时，疏散走道的宽度不宜小于</w:t>
      </w:r>
      <w:r>
        <w:rPr>
          <w:rFonts w:ascii="仿宋" w:eastAsia="仿宋" w:hAnsi="仿宋" w:cs="仿宋" w:hint="eastAsia"/>
          <w:sz w:val="32"/>
          <w:szCs w:val="32"/>
        </w:rPr>
        <w:t>2m</w:t>
      </w:r>
      <w:r>
        <w:rPr>
          <w:rFonts w:ascii="仿宋" w:eastAsia="仿宋" w:hAnsi="仿宋" w:cs="仿宋" w:hint="eastAsia"/>
          <w:sz w:val="32"/>
          <w:szCs w:val="32"/>
        </w:rPr>
        <w:t>；沿走道单面布置停放电动自行车车位时，疏散走道的宽度不宜小于</w:t>
      </w:r>
      <w:r>
        <w:rPr>
          <w:rFonts w:ascii="仿宋" w:eastAsia="仿宋" w:hAnsi="仿宋" w:cs="仿宋" w:hint="eastAsia"/>
          <w:sz w:val="32"/>
          <w:szCs w:val="32"/>
        </w:rPr>
        <w:t>1.4m</w:t>
      </w:r>
      <w:r>
        <w:rPr>
          <w:rFonts w:ascii="仿宋" w:eastAsia="仿宋" w:hAnsi="仿宋" w:cs="仿宋" w:hint="eastAsia"/>
          <w:sz w:val="32"/>
          <w:szCs w:val="32"/>
        </w:rPr>
        <w:t>。</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w:t>
      </w:r>
      <w:r>
        <w:rPr>
          <w:rFonts w:ascii="仿宋" w:eastAsia="仿宋" w:hAnsi="仿宋" w:cs="仿宋" w:hint="eastAsia"/>
          <w:sz w:val="32"/>
          <w:szCs w:val="32"/>
        </w:rPr>
        <w:t>电动自行车停放、充电场所的建筑构件和装修材料应使用不燃材料。</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四、电动自行车停放、充电场所应配置灭火器，灭火器配置的危险等级可按中危险级确定，单具灭火器的灭火级别应不小于</w:t>
      </w:r>
      <w:r>
        <w:rPr>
          <w:rFonts w:ascii="仿宋" w:eastAsia="仿宋" w:hAnsi="仿宋" w:cs="仿宋" w:hint="eastAsia"/>
          <w:sz w:val="32"/>
          <w:szCs w:val="32"/>
        </w:rPr>
        <w:t>3A</w:t>
      </w:r>
      <w:r>
        <w:rPr>
          <w:rFonts w:ascii="仿宋" w:eastAsia="仿宋" w:hAnsi="仿宋" w:cs="仿宋" w:hint="eastAsia"/>
          <w:sz w:val="32"/>
          <w:szCs w:val="32"/>
        </w:rPr>
        <w:t>。</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五、设置在室内的电动自行车停放、充电场所应设置火灾自动报警系统、室内消火栓系统、自动喷水灭火系统。</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所在建筑根据国家工程建设消防技术标准可不设置火灾自动报警系统的，电动自行车停放、充电场所应增设火灾自动报警系统，或采用具备无线通讯功能的独立式感烟火灾探测报警器。独立式感烟火灾探测报警器的保护面积和保护半径应根据生产企业产品说明书确定，且不宜超过《火灾自动报警系统设计规范》</w:t>
      </w:r>
      <w:r>
        <w:rPr>
          <w:rFonts w:ascii="仿宋" w:eastAsia="仿宋" w:hAnsi="仿宋" w:cs="仿宋" w:hint="eastAsia"/>
          <w:sz w:val="32"/>
          <w:szCs w:val="32"/>
        </w:rPr>
        <w:t>GB50116</w:t>
      </w:r>
      <w:r>
        <w:rPr>
          <w:rFonts w:ascii="仿宋" w:eastAsia="仿宋" w:hAnsi="仿宋" w:cs="仿宋" w:hint="eastAsia"/>
          <w:sz w:val="32"/>
          <w:szCs w:val="32"/>
        </w:rPr>
        <w:t>的</w:t>
      </w:r>
      <w:r>
        <w:rPr>
          <w:rFonts w:ascii="仿宋" w:eastAsia="仿宋" w:hAnsi="仿宋" w:cs="仿宋" w:hint="eastAsia"/>
          <w:sz w:val="32"/>
          <w:szCs w:val="32"/>
        </w:rPr>
        <w:t>规定。</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所在建筑根据国家工程建设消防技术标准可不设置室内消火栓系统的，电动自行车停放、充电场所应增设室内消火栓系统，或利用场所</w:t>
      </w:r>
      <w:r>
        <w:rPr>
          <w:rFonts w:ascii="仿宋" w:eastAsia="仿宋" w:hAnsi="仿宋" w:cs="仿宋" w:hint="eastAsia"/>
          <w:sz w:val="32"/>
          <w:szCs w:val="32"/>
        </w:rPr>
        <w:t>30m</w:t>
      </w:r>
      <w:r>
        <w:rPr>
          <w:rFonts w:ascii="仿宋" w:eastAsia="仿宋" w:hAnsi="仿宋" w:cs="仿宋" w:hint="eastAsia"/>
          <w:sz w:val="32"/>
          <w:szCs w:val="32"/>
        </w:rPr>
        <w:t>范围内的室外消火栓或市政消火栓，在场所入口处等便于取用的部位设置标识明显的器材箱，器材箱内配置室外消火栓扳手、消防水带、多功能水枪等。</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所在建筑根据国家工程建设消防技术标准可不设置自动喷水灭火系统的，电动自行车停放、充电场所应增设自动喷水灭火系统，自动喷水灭火系统的火灾危险等级按中危险级</w:t>
      </w:r>
      <w:r>
        <w:rPr>
          <w:rFonts w:ascii="仿宋" w:eastAsia="仿宋" w:hAnsi="仿宋" w:cs="仿宋" w:hint="eastAsia"/>
          <w:sz w:val="32"/>
          <w:szCs w:val="32"/>
        </w:rPr>
        <w:t>I</w:t>
      </w:r>
      <w:r>
        <w:rPr>
          <w:rFonts w:ascii="仿宋" w:eastAsia="仿宋" w:hAnsi="仿宋" w:cs="仿宋" w:hint="eastAsia"/>
          <w:sz w:val="32"/>
          <w:szCs w:val="32"/>
        </w:rPr>
        <w:t>级确定。当电动自行车停放、充电场所的建筑面积不超过</w:t>
      </w:r>
      <w:r>
        <w:rPr>
          <w:rFonts w:ascii="仿宋" w:eastAsia="仿宋" w:hAnsi="仿宋" w:cs="仿宋" w:hint="eastAsia"/>
          <w:sz w:val="32"/>
          <w:szCs w:val="32"/>
        </w:rPr>
        <w:t>1000</w:t>
      </w:r>
      <w:r>
        <w:rPr>
          <w:rFonts w:ascii="仿宋" w:eastAsia="仿宋" w:hAnsi="仿宋" w:cs="仿宋" w:hint="eastAsia"/>
          <w:sz w:val="32"/>
          <w:szCs w:val="32"/>
        </w:rPr>
        <w:t>㎡且大于</w:t>
      </w:r>
      <w:r>
        <w:rPr>
          <w:rFonts w:ascii="仿宋" w:eastAsia="仿宋" w:hAnsi="仿宋" w:cs="仿宋" w:hint="eastAsia"/>
          <w:sz w:val="32"/>
          <w:szCs w:val="32"/>
        </w:rPr>
        <w:t>300</w:t>
      </w:r>
      <w:r>
        <w:rPr>
          <w:rFonts w:ascii="仿宋" w:eastAsia="仿宋" w:hAnsi="仿宋" w:cs="仿宋" w:hint="eastAsia"/>
          <w:sz w:val="32"/>
          <w:szCs w:val="32"/>
        </w:rPr>
        <w:t>㎡时，自动</w:t>
      </w:r>
      <w:r>
        <w:rPr>
          <w:rFonts w:ascii="仿宋" w:eastAsia="仿宋" w:hAnsi="仿宋" w:cs="仿宋" w:hint="eastAsia"/>
          <w:sz w:val="32"/>
          <w:szCs w:val="32"/>
        </w:rPr>
        <w:t>喷水灭火系统可采用局部应用系统；当防火分区面积不超过</w:t>
      </w:r>
      <w:r>
        <w:rPr>
          <w:rFonts w:ascii="仿宋" w:eastAsia="仿宋" w:hAnsi="仿宋" w:cs="仿宋" w:hint="eastAsia"/>
          <w:sz w:val="32"/>
          <w:szCs w:val="32"/>
        </w:rPr>
        <w:t>300</w:t>
      </w:r>
      <w:r>
        <w:rPr>
          <w:rFonts w:ascii="仿宋" w:eastAsia="仿宋" w:hAnsi="仿宋" w:cs="仿宋" w:hint="eastAsia"/>
          <w:sz w:val="32"/>
          <w:szCs w:val="32"/>
        </w:rPr>
        <w:t>㎡时，自动喷水灭火系统可参照《简易自动喷水灭火系统应用技术规程》</w:t>
      </w:r>
      <w:r>
        <w:rPr>
          <w:rFonts w:ascii="仿宋" w:eastAsia="仿宋" w:hAnsi="仿宋" w:cs="仿宋" w:hint="eastAsia"/>
          <w:sz w:val="32"/>
          <w:szCs w:val="32"/>
        </w:rPr>
        <w:t>CECS 219:2007</w:t>
      </w:r>
      <w:r>
        <w:rPr>
          <w:rFonts w:ascii="仿宋" w:eastAsia="仿宋" w:hAnsi="仿宋" w:cs="仿宋" w:hint="eastAsia"/>
          <w:sz w:val="32"/>
          <w:szCs w:val="32"/>
        </w:rPr>
        <w:t>的相关规定进行设计。</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六、设置在室内的电动自行车停放、充电场所应设置排烟设施，并宜采用自然排烟方式，每个防烟分区的最大允许面积为</w:t>
      </w:r>
      <w:r>
        <w:rPr>
          <w:rFonts w:ascii="仿宋" w:eastAsia="仿宋" w:hAnsi="仿宋" w:cs="仿宋" w:hint="eastAsia"/>
          <w:sz w:val="32"/>
          <w:szCs w:val="32"/>
        </w:rPr>
        <w:t>500</w:t>
      </w:r>
      <w:r>
        <w:rPr>
          <w:rFonts w:ascii="仿宋" w:eastAsia="仿宋" w:hAnsi="仿宋" w:cs="仿宋" w:hint="eastAsia"/>
          <w:sz w:val="32"/>
          <w:szCs w:val="32"/>
        </w:rPr>
        <w:t>㎡。</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当采用自然排烟方式时，自然排烟窗（口）应均匀布置，防烟分区内任一点与最近的自然排烟窗（口）距离不应大于</w:t>
      </w:r>
      <w:r>
        <w:rPr>
          <w:rFonts w:ascii="仿宋" w:eastAsia="仿宋" w:hAnsi="仿宋" w:cs="仿宋" w:hint="eastAsia"/>
          <w:sz w:val="32"/>
          <w:szCs w:val="32"/>
        </w:rPr>
        <w:t>30m</w:t>
      </w:r>
      <w:r>
        <w:rPr>
          <w:rFonts w:ascii="仿宋" w:eastAsia="仿宋" w:hAnsi="仿宋" w:cs="仿宋" w:hint="eastAsia"/>
          <w:sz w:val="32"/>
          <w:szCs w:val="32"/>
        </w:rPr>
        <w:t>，自然排烟窗（口）应设置在室内净高</w:t>
      </w:r>
      <w:r>
        <w:rPr>
          <w:rFonts w:ascii="仿宋" w:eastAsia="仿宋" w:hAnsi="仿宋" w:cs="仿宋" w:hint="eastAsia"/>
          <w:sz w:val="32"/>
          <w:szCs w:val="32"/>
        </w:rPr>
        <w:t>1/2</w:t>
      </w:r>
      <w:r>
        <w:rPr>
          <w:rFonts w:ascii="仿宋" w:eastAsia="仿宋" w:hAnsi="仿宋" w:cs="仿宋" w:hint="eastAsia"/>
          <w:sz w:val="32"/>
          <w:szCs w:val="32"/>
        </w:rPr>
        <w:t>以上，且有效排烟面积不小于地面面积的</w:t>
      </w:r>
      <w:r>
        <w:rPr>
          <w:rFonts w:ascii="仿宋" w:eastAsia="仿宋" w:hAnsi="仿宋" w:cs="仿宋" w:hint="eastAsia"/>
          <w:sz w:val="32"/>
          <w:szCs w:val="32"/>
        </w:rPr>
        <w:t>5%</w:t>
      </w:r>
      <w:r>
        <w:rPr>
          <w:rFonts w:ascii="仿宋" w:eastAsia="仿宋" w:hAnsi="仿宋" w:cs="仿宋" w:hint="eastAsia"/>
          <w:sz w:val="32"/>
          <w:szCs w:val="32"/>
        </w:rPr>
        <w:t>。</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无可开启外窗或可开启外窗</w:t>
      </w:r>
      <w:r>
        <w:rPr>
          <w:rFonts w:ascii="仿宋" w:eastAsia="仿宋" w:hAnsi="仿宋" w:cs="仿宋" w:hint="eastAsia"/>
          <w:sz w:val="32"/>
          <w:szCs w:val="32"/>
        </w:rPr>
        <w:t>面积不足的，应设置机械排烟设施，机械排烟量按照不小于</w:t>
      </w:r>
      <w:r>
        <w:rPr>
          <w:rFonts w:ascii="仿宋" w:eastAsia="仿宋" w:hAnsi="仿宋" w:cs="仿宋" w:hint="eastAsia"/>
          <w:sz w:val="32"/>
          <w:szCs w:val="32"/>
        </w:rPr>
        <w:t>90m</w:t>
      </w:r>
      <w:r>
        <w:rPr>
          <w:rFonts w:ascii="仿宋" w:eastAsia="仿宋" w:hAnsi="仿宋" w:cs="仿宋" w:hint="eastAsia"/>
          <w:sz w:val="32"/>
          <w:szCs w:val="32"/>
          <w:vertAlign w:val="superscript"/>
        </w:rPr>
        <w:t>3</w:t>
      </w:r>
      <w:r>
        <w:rPr>
          <w:rFonts w:ascii="仿宋" w:eastAsia="仿宋" w:hAnsi="仿宋" w:cs="仿宋" w:hint="eastAsia"/>
          <w:sz w:val="32"/>
          <w:szCs w:val="32"/>
        </w:rPr>
        <w:t>/h.</w:t>
      </w:r>
      <w:r>
        <w:rPr>
          <w:rFonts w:ascii="仿宋" w:eastAsia="仿宋" w:hAnsi="仿宋" w:cs="仿宋" w:hint="eastAsia"/>
          <w:sz w:val="32"/>
          <w:szCs w:val="32"/>
        </w:rPr>
        <w:t>㎡设计。</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七、电动自行车停放、充电场所电气设计和施工应符合下列规定：</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电动自行车停放、充电场所宜采用专用充电设备。</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电动自行车的充电设备线路应设置专用配电箱，应为三相进线，进线为专用回路。</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电动自行车充电设施应具备充满自动断电、定时断电、充电故障自动断电、过载保护、短路保护、漏电保护功能，并宜具备充电故障报警、功率监测、高温报警等功能。</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hint="eastAsia"/>
          <w:sz w:val="32"/>
          <w:szCs w:val="32"/>
        </w:rPr>
        <w:t>电动自行车停放、充电场所的配电箱、充电装置、线路等应具备防撞功能。室外电动自行车停放、充电</w:t>
      </w:r>
      <w:r>
        <w:rPr>
          <w:rFonts w:ascii="仿宋" w:eastAsia="仿宋" w:hAnsi="仿宋" w:cs="仿宋" w:hint="eastAsia"/>
          <w:sz w:val="32"/>
          <w:szCs w:val="32"/>
        </w:rPr>
        <w:t>场所的配电箱、充电装置、线路等还应具备防水、防尘等防护功能。</w:t>
      </w:r>
    </w:p>
    <w:p w:rsidR="00000000" w:rsidRDefault="00866A41">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w:t>
      </w:r>
      <w:r>
        <w:rPr>
          <w:rFonts w:ascii="仿宋" w:eastAsia="仿宋" w:hAnsi="仿宋" w:cs="仿宋" w:hint="eastAsia"/>
          <w:sz w:val="32"/>
          <w:szCs w:val="32"/>
        </w:rPr>
        <w:t>电气线路敷设应符合《民用电气设计规范》</w:t>
      </w:r>
      <w:r>
        <w:rPr>
          <w:rFonts w:ascii="仿宋" w:eastAsia="仿宋" w:hAnsi="仿宋" w:cs="仿宋" w:hint="eastAsia"/>
          <w:sz w:val="32"/>
          <w:szCs w:val="32"/>
        </w:rPr>
        <w:t>JGJ 16</w:t>
      </w:r>
      <w:r>
        <w:rPr>
          <w:rFonts w:ascii="仿宋" w:eastAsia="仿宋" w:hAnsi="仿宋" w:cs="仿宋" w:hint="eastAsia"/>
          <w:sz w:val="32"/>
          <w:szCs w:val="32"/>
        </w:rPr>
        <w:t>的规定。</w:t>
      </w:r>
    </w:p>
    <w:p w:rsidR="00000000" w:rsidRDefault="00866A41">
      <w:pPr>
        <w:spacing w:line="590" w:lineRule="exact"/>
        <w:ind w:right="160" w:firstLineChars="200" w:firstLine="640"/>
        <w:rPr>
          <w:rFonts w:ascii="仿宋" w:eastAsia="仿宋" w:hAnsi="仿宋" w:cs="仿宋" w:hint="eastAsia"/>
          <w:sz w:val="32"/>
          <w:szCs w:val="32"/>
        </w:rPr>
      </w:pPr>
      <w:r>
        <w:rPr>
          <w:rFonts w:ascii="仿宋" w:eastAsia="仿宋" w:hAnsi="仿宋" w:cs="仿宋" w:hint="eastAsia"/>
          <w:sz w:val="32"/>
          <w:szCs w:val="32"/>
        </w:rPr>
        <w:t>6.</w:t>
      </w:r>
      <w:r>
        <w:rPr>
          <w:rFonts w:ascii="仿宋" w:eastAsia="仿宋" w:hAnsi="仿宋" w:cs="仿宋" w:hint="eastAsia"/>
          <w:sz w:val="32"/>
          <w:szCs w:val="32"/>
        </w:rPr>
        <w:t>电动自行车充电设施应当由专业人员施工，电气产品、线缆应采用符合现行国家标准的合格产品。</w:t>
      </w:r>
    </w:p>
    <w:p w:rsidR="00000000" w:rsidRDefault="00866A41">
      <w:pPr>
        <w:widowControl/>
        <w:adjustRightInd w:val="0"/>
        <w:snapToGrid w:val="0"/>
        <w:spacing w:line="590" w:lineRule="exact"/>
        <w:rPr>
          <w:rFonts w:ascii="仿宋" w:eastAsia="仿宋" w:hAnsi="仿宋" w:cs="仿宋" w:hint="eastAsia"/>
          <w:sz w:val="32"/>
          <w:szCs w:val="32"/>
        </w:rPr>
        <w:sectPr w:rsidR="00000000">
          <w:headerReference w:type="default" r:id="rId6"/>
          <w:footerReference w:type="even" r:id="rId7"/>
          <w:footerReference w:type="default" r:id="rId8"/>
          <w:pgSz w:w="11906" w:h="16838"/>
          <w:pgMar w:top="1701" w:right="1474" w:bottom="1984" w:left="1588" w:header="714" w:footer="1531" w:gutter="0"/>
          <w:cols w:space="720"/>
          <w:docGrid w:type="lines" w:linePitch="312"/>
        </w:sectPr>
      </w:pPr>
    </w:p>
    <w:p w:rsidR="00000000" w:rsidRDefault="00866A41">
      <w:pPr>
        <w:widowControl/>
        <w:adjustRightInd w:val="0"/>
        <w:snapToGrid w:val="0"/>
        <w:spacing w:line="590" w:lineRule="exact"/>
        <w:rPr>
          <w:rFonts w:ascii="仿宋" w:eastAsia="仿宋" w:hAnsi="仿宋" w:cs="仿宋" w:hint="eastAsia"/>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2</w:t>
      </w:r>
    </w:p>
    <w:p w:rsidR="00000000" w:rsidRDefault="00866A41">
      <w:pPr>
        <w:pStyle w:val="a9"/>
        <w:shd w:val="clear" w:color="auto" w:fill="FFFFFF"/>
        <w:spacing w:before="0" w:beforeAutospacing="0" w:after="0" w:afterAutospacing="0" w:line="590" w:lineRule="exact"/>
        <w:jc w:val="center"/>
        <w:rPr>
          <w:rFonts w:ascii="黑体" w:eastAsia="黑体" w:hAnsi="黑体" w:cs="黑体" w:hint="eastAsia"/>
          <w:b/>
          <w:color w:val="000000"/>
          <w:sz w:val="44"/>
          <w:szCs w:val="44"/>
        </w:rPr>
      </w:pPr>
      <w:r>
        <w:rPr>
          <w:rStyle w:val="a4"/>
          <w:rFonts w:ascii="黑体" w:eastAsia="黑体" w:hAnsi="黑体" w:cs="黑体" w:hint="eastAsia"/>
          <w:b w:val="0"/>
          <w:color w:val="000000"/>
          <w:sz w:val="44"/>
          <w:szCs w:val="44"/>
          <w:shd w:val="clear" w:color="auto" w:fill="FFFFFF"/>
        </w:rPr>
        <w:t>关于规范电动车停放充电加强火灾防范的通告</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shd w:val="clear" w:color="auto" w:fill="FFFFFF"/>
        </w:rPr>
      </w:pP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Fonts w:ascii="仿宋" w:eastAsia="仿宋" w:hAnsi="仿宋" w:cs="仿宋" w:hint="eastAsia"/>
          <w:color w:val="000000"/>
          <w:sz w:val="32"/>
          <w:szCs w:val="32"/>
          <w:shd w:val="clear" w:color="auto" w:fill="FFFFFF"/>
        </w:rPr>
        <w:t>为预防电动车引发火灾，保护人身财产安全，维护公共安全，根据《中华人民共和国消防法》等法律法规，现就加强电动车停放、充电火灾防范工作通告如下：</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Style w:val="a4"/>
          <w:rFonts w:ascii="仿宋" w:eastAsia="仿宋" w:hAnsi="仿宋" w:cs="仿宋" w:hint="eastAsia"/>
          <w:b w:val="0"/>
          <w:color w:val="000000"/>
          <w:sz w:val="32"/>
          <w:szCs w:val="32"/>
          <w:shd w:val="clear" w:color="auto" w:fill="FFFFFF"/>
        </w:rPr>
        <w:t>一、充分认识电动车火灾危害。</w:t>
      </w:r>
      <w:r>
        <w:rPr>
          <w:rFonts w:ascii="仿宋" w:eastAsia="仿宋" w:hAnsi="仿宋" w:cs="仿宋" w:hint="eastAsia"/>
          <w:color w:val="000000"/>
          <w:sz w:val="32"/>
          <w:szCs w:val="32"/>
          <w:shd w:val="clear" w:color="auto" w:fill="FFFFFF"/>
        </w:rPr>
        <w:t>近年来，我国电动车火灾事故频发，并呈逐年增长趋势，起火原因主要为电气故</w:t>
      </w:r>
      <w:r>
        <w:rPr>
          <w:rFonts w:ascii="仿宋" w:eastAsia="仿宋" w:hAnsi="仿宋" w:cs="仿宋" w:hint="eastAsia"/>
          <w:color w:val="000000"/>
          <w:sz w:val="32"/>
          <w:szCs w:val="32"/>
          <w:shd w:val="clear" w:color="auto" w:fill="FFFFFF"/>
        </w:rPr>
        <w:t>障。电动车大多在室内停放和充电，有的甚至停放在走道、楼梯间等公共区域，由于电动车车体大部分为易燃可燃材料，一旦起火，燃烧速度快，并产生大量有毒烟气，人员逃生困难，极易造成伤亡。</w:t>
      </w:r>
      <w:r>
        <w:rPr>
          <w:rFonts w:ascii="仿宋" w:eastAsia="仿宋" w:hAnsi="仿宋" w:cs="仿宋" w:hint="eastAsia"/>
          <w:color w:val="000000"/>
          <w:sz w:val="32"/>
          <w:szCs w:val="32"/>
          <w:shd w:val="clear" w:color="auto" w:fill="FFFFFF"/>
        </w:rPr>
        <w:t>2011</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4</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25</w:t>
      </w:r>
      <w:r>
        <w:rPr>
          <w:rFonts w:ascii="仿宋" w:eastAsia="仿宋" w:hAnsi="仿宋" w:cs="仿宋" w:hint="eastAsia"/>
          <w:color w:val="000000"/>
          <w:sz w:val="32"/>
          <w:szCs w:val="32"/>
          <w:shd w:val="clear" w:color="auto" w:fill="FFFFFF"/>
        </w:rPr>
        <w:t>日，北京市大兴区旧宫镇一民房发生火灾，造成</w:t>
      </w:r>
      <w:r>
        <w:rPr>
          <w:rFonts w:ascii="仿宋" w:eastAsia="仿宋" w:hAnsi="仿宋" w:cs="仿宋" w:hint="eastAsia"/>
          <w:color w:val="000000"/>
          <w:sz w:val="32"/>
          <w:szCs w:val="32"/>
          <w:shd w:val="clear" w:color="auto" w:fill="FFFFFF"/>
        </w:rPr>
        <w:t>18</w:t>
      </w:r>
      <w:r>
        <w:rPr>
          <w:rFonts w:ascii="仿宋" w:eastAsia="仿宋" w:hAnsi="仿宋" w:cs="仿宋" w:hint="eastAsia"/>
          <w:color w:val="000000"/>
          <w:sz w:val="32"/>
          <w:szCs w:val="32"/>
          <w:shd w:val="clear" w:color="auto" w:fill="FFFFFF"/>
        </w:rPr>
        <w:t>人死亡；</w:t>
      </w:r>
      <w:r>
        <w:rPr>
          <w:rFonts w:ascii="仿宋" w:eastAsia="仿宋" w:hAnsi="仿宋" w:cs="仿宋" w:hint="eastAsia"/>
          <w:color w:val="000000"/>
          <w:sz w:val="32"/>
          <w:szCs w:val="32"/>
          <w:shd w:val="clear" w:color="auto" w:fill="FFFFFF"/>
        </w:rPr>
        <w:t>2017</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25</w:t>
      </w:r>
      <w:r>
        <w:rPr>
          <w:rFonts w:ascii="仿宋" w:eastAsia="仿宋" w:hAnsi="仿宋" w:cs="仿宋" w:hint="eastAsia"/>
          <w:color w:val="000000"/>
          <w:sz w:val="32"/>
          <w:szCs w:val="32"/>
          <w:shd w:val="clear" w:color="auto" w:fill="FFFFFF"/>
        </w:rPr>
        <w:t>日，浙江省台州市玉环市一群租房发生火灾，造成</w:t>
      </w:r>
      <w:r>
        <w:rPr>
          <w:rFonts w:ascii="仿宋" w:eastAsia="仿宋" w:hAnsi="仿宋" w:cs="仿宋" w:hint="eastAsia"/>
          <w:color w:val="000000"/>
          <w:sz w:val="32"/>
          <w:szCs w:val="32"/>
          <w:shd w:val="clear" w:color="auto" w:fill="FFFFFF"/>
        </w:rPr>
        <w:t>11</w:t>
      </w:r>
      <w:r>
        <w:rPr>
          <w:rFonts w:ascii="仿宋" w:eastAsia="仿宋" w:hAnsi="仿宋" w:cs="仿宋" w:hint="eastAsia"/>
          <w:color w:val="000000"/>
          <w:sz w:val="32"/>
          <w:szCs w:val="32"/>
          <w:shd w:val="clear" w:color="auto" w:fill="FFFFFF"/>
        </w:rPr>
        <w:t>人死亡，这些都是室内电动车电气故障引发的，教训十分惨痛。</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Style w:val="a4"/>
          <w:rFonts w:ascii="仿宋" w:eastAsia="仿宋" w:hAnsi="仿宋" w:cs="仿宋" w:hint="eastAsia"/>
          <w:b w:val="0"/>
          <w:color w:val="000000"/>
          <w:sz w:val="32"/>
          <w:szCs w:val="32"/>
          <w:shd w:val="clear" w:color="auto" w:fill="FFFFFF"/>
        </w:rPr>
        <w:t>二、落实停放充电管理责任。</w:t>
      </w:r>
      <w:r>
        <w:rPr>
          <w:rFonts w:ascii="仿宋" w:eastAsia="仿宋" w:hAnsi="仿宋" w:cs="仿宋" w:hint="eastAsia"/>
          <w:color w:val="000000"/>
          <w:sz w:val="32"/>
          <w:szCs w:val="32"/>
          <w:shd w:val="clear" w:color="auto" w:fill="FFFFFF"/>
        </w:rPr>
        <w:t>对于有物业服务企业或者主管单位的住宅小区、楼院，物业服务企业、主管单位应当依据《物业管理条例》等有关规定，对管理区</w:t>
      </w:r>
      <w:r>
        <w:rPr>
          <w:rFonts w:ascii="仿宋" w:eastAsia="仿宋" w:hAnsi="仿宋" w:cs="仿宋" w:hint="eastAsia"/>
          <w:color w:val="000000"/>
          <w:sz w:val="32"/>
          <w:szCs w:val="32"/>
          <w:shd w:val="clear" w:color="auto" w:fill="FFFFFF"/>
        </w:rPr>
        <w:t>域内电动车停放、充电实施消防安全管理；对于没有物业服务企业或者主管单位的，辖区乡镇人民政府、街道办事处应当按照《中华人民共和国消防法》和国务院办公厅印发的《消防安全责任制实施办法》等规范性文件，指导帮助村民委员会、居民委员会确定电动车停放、充电消防安全管理人员，落实管理责任。有条件的住宅小区、楼院，应当结合实际设置电动车集中停放及充电场所。</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Style w:val="a4"/>
          <w:rFonts w:ascii="仿宋" w:eastAsia="仿宋" w:hAnsi="仿宋" w:cs="仿宋" w:hint="eastAsia"/>
          <w:b w:val="0"/>
          <w:color w:val="000000"/>
          <w:sz w:val="32"/>
          <w:szCs w:val="32"/>
          <w:shd w:val="clear" w:color="auto" w:fill="FFFFFF"/>
        </w:rPr>
        <w:t>三、规范电动车停放充电行为。</w:t>
      </w:r>
      <w:r>
        <w:rPr>
          <w:rFonts w:ascii="仿宋" w:eastAsia="仿宋" w:hAnsi="仿宋" w:cs="仿宋" w:hint="eastAsia"/>
          <w:color w:val="000000"/>
          <w:sz w:val="32"/>
          <w:szCs w:val="32"/>
          <w:shd w:val="clear" w:color="auto" w:fill="FFFFFF"/>
        </w:rPr>
        <w:t>公民应当将电动车停放在安全地点，充电时应当确保安全。严禁在建筑内的共用走道、楼梯间、安全出口处等公共区域停放电动车或者为电动车充电。公民应尽</w:t>
      </w:r>
      <w:r>
        <w:rPr>
          <w:rFonts w:ascii="仿宋" w:eastAsia="仿宋" w:hAnsi="仿宋" w:cs="仿宋" w:hint="eastAsia"/>
          <w:color w:val="000000"/>
          <w:sz w:val="32"/>
          <w:szCs w:val="32"/>
          <w:shd w:val="clear" w:color="auto" w:fill="FFFFFF"/>
        </w:rPr>
        <w:t>量不在个人住房内停放电动车或为电动车充电；确需停放和充电的，应当落实隔离、监护等防范措施，防止发生火灾。</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Style w:val="a4"/>
          <w:rFonts w:ascii="仿宋" w:eastAsia="仿宋" w:hAnsi="仿宋" w:cs="仿宋" w:hint="eastAsia"/>
          <w:b w:val="0"/>
          <w:color w:val="000000"/>
          <w:sz w:val="32"/>
          <w:szCs w:val="32"/>
          <w:shd w:val="clear" w:color="auto" w:fill="FFFFFF"/>
        </w:rPr>
        <w:t>四、严厉查处违规停放充电行为。</w:t>
      </w:r>
      <w:r>
        <w:rPr>
          <w:rFonts w:ascii="仿宋" w:eastAsia="仿宋" w:hAnsi="仿宋" w:cs="仿宋" w:hint="eastAsia"/>
          <w:color w:val="000000"/>
          <w:sz w:val="32"/>
          <w:szCs w:val="32"/>
          <w:shd w:val="clear" w:color="auto" w:fill="FFFFFF"/>
        </w:rPr>
        <w:t>物业服务企业、主管单位和村民委员会、居民委员会，应当立即组织对住宅小区、楼院开展电动车停放和充电专项检查，及时消除隐患。对检查发现电动车违规停放、充电的，应当制止并组织清理；对拒不清理的，要向公安机关消防机构或者公安派出所报告。</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Style w:val="a4"/>
          <w:rFonts w:ascii="仿宋" w:eastAsia="仿宋" w:hAnsi="仿宋" w:cs="仿宋" w:hint="eastAsia"/>
          <w:b w:val="0"/>
          <w:color w:val="000000"/>
          <w:sz w:val="32"/>
          <w:szCs w:val="32"/>
          <w:shd w:val="clear" w:color="auto" w:fill="FFFFFF"/>
        </w:rPr>
        <w:t>五、加强消防安全宣传教育。</w:t>
      </w:r>
      <w:r>
        <w:rPr>
          <w:rFonts w:ascii="仿宋" w:eastAsia="仿宋" w:hAnsi="仿宋" w:cs="仿宋" w:hint="eastAsia"/>
          <w:color w:val="000000"/>
          <w:sz w:val="32"/>
          <w:szCs w:val="32"/>
          <w:shd w:val="clear" w:color="auto" w:fill="FFFFFF"/>
        </w:rPr>
        <w:t>物业服务企业、主管单位和村民委员会、居民委员会，应当加强电动车停放充电引发火灾的防范常识宣传和典型火灾案例警示教育，引导</w:t>
      </w:r>
      <w:r>
        <w:rPr>
          <w:rFonts w:ascii="仿宋" w:eastAsia="仿宋" w:hAnsi="仿宋" w:cs="仿宋" w:hint="eastAsia"/>
          <w:color w:val="000000"/>
          <w:sz w:val="32"/>
          <w:szCs w:val="32"/>
          <w:shd w:val="clear" w:color="auto" w:fill="FFFFFF"/>
        </w:rPr>
        <w:t>群众增强消防安全意识，并按要求停放电动车和为电动车充电。一旦遇到电动车火灾切勿盲目逃生，要选择正确的逃生路线和方法。</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Fonts w:ascii="仿宋" w:eastAsia="仿宋" w:hAnsi="仿宋" w:cs="仿宋" w:hint="eastAsia"/>
          <w:color w:val="000000"/>
          <w:sz w:val="32"/>
          <w:szCs w:val="32"/>
          <w:shd w:val="clear" w:color="auto" w:fill="FFFFFF"/>
        </w:rPr>
        <w:t>公民应当自觉遵守消防法律法规和消防安全管理规定，发现电动车火灾隐患和消防安全违法行为时，要及时拨打“</w:t>
      </w:r>
      <w:r>
        <w:rPr>
          <w:rFonts w:ascii="仿宋" w:eastAsia="仿宋" w:hAnsi="仿宋" w:cs="仿宋" w:hint="eastAsia"/>
          <w:color w:val="000000"/>
          <w:sz w:val="32"/>
          <w:szCs w:val="32"/>
          <w:shd w:val="clear" w:color="auto" w:fill="FFFFFF"/>
        </w:rPr>
        <w:t>96119</w:t>
      </w:r>
      <w:r>
        <w:rPr>
          <w:rFonts w:ascii="仿宋" w:eastAsia="仿宋" w:hAnsi="仿宋" w:cs="仿宋" w:hint="eastAsia"/>
          <w:color w:val="000000"/>
          <w:sz w:val="32"/>
          <w:szCs w:val="32"/>
          <w:shd w:val="clear" w:color="auto" w:fill="FFFFFF"/>
        </w:rPr>
        <w:t>”举报电话或者通过有效途径，向公安机关举报。</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Fonts w:ascii="仿宋" w:eastAsia="仿宋" w:hAnsi="仿宋" w:cs="仿宋" w:hint="eastAsia"/>
          <w:color w:val="000000"/>
          <w:sz w:val="32"/>
          <w:szCs w:val="32"/>
          <w:shd w:val="clear" w:color="auto" w:fill="FFFFFF"/>
        </w:rPr>
        <w:t>本通告所称的电动车包括电动自行车、电动摩托车和电动三轮车。对违反本通告的行为，构成违反消防管理行为的，公安机关将依法予以处罚；引起火灾，造成严重后果，构成犯罪的，依法追究刑事责任。</w:t>
      </w:r>
    </w:p>
    <w:p w:rsidR="00000000" w:rsidRDefault="00866A41">
      <w:pPr>
        <w:pStyle w:val="a9"/>
        <w:shd w:val="clear" w:color="auto" w:fill="FFFFFF"/>
        <w:spacing w:before="0" w:beforeAutospacing="0" w:after="0" w:afterAutospacing="0" w:line="590" w:lineRule="exact"/>
        <w:ind w:firstLine="420"/>
        <w:rPr>
          <w:rFonts w:ascii="仿宋" w:eastAsia="仿宋" w:hAnsi="仿宋" w:cs="仿宋" w:hint="eastAsia"/>
          <w:color w:val="000000"/>
          <w:sz w:val="32"/>
          <w:szCs w:val="32"/>
        </w:rPr>
      </w:pPr>
      <w:r>
        <w:rPr>
          <w:rFonts w:ascii="仿宋" w:eastAsia="仿宋" w:hAnsi="仿宋" w:cs="仿宋" w:hint="eastAsia"/>
          <w:color w:val="000000"/>
          <w:sz w:val="32"/>
          <w:szCs w:val="32"/>
          <w:shd w:val="clear" w:color="auto" w:fill="FFFFFF"/>
        </w:rPr>
        <w:t>特此通告。</w:t>
      </w:r>
    </w:p>
    <w:p w:rsidR="00000000" w:rsidRDefault="00866A41">
      <w:pPr>
        <w:pStyle w:val="a9"/>
        <w:shd w:val="clear" w:color="auto" w:fill="FFFFFF"/>
        <w:spacing w:before="0" w:beforeAutospacing="0" w:after="0" w:afterAutospacing="0" w:line="590" w:lineRule="exact"/>
        <w:ind w:right="640" w:firstLineChars="1450" w:firstLine="4640"/>
        <w:rPr>
          <w:rFonts w:ascii="仿宋" w:eastAsia="仿宋" w:hAnsi="仿宋" w:cs="仿宋" w:hint="eastAsia"/>
          <w:color w:val="000000"/>
          <w:sz w:val="32"/>
          <w:szCs w:val="32"/>
          <w:shd w:val="clear" w:color="auto" w:fill="FFFFFF"/>
        </w:rPr>
      </w:pPr>
    </w:p>
    <w:p w:rsidR="00000000" w:rsidRDefault="00866A41">
      <w:pPr>
        <w:pStyle w:val="a9"/>
        <w:shd w:val="clear" w:color="auto" w:fill="FFFFFF"/>
        <w:spacing w:before="0" w:beforeAutospacing="0" w:after="0" w:afterAutospacing="0" w:line="590" w:lineRule="exact"/>
        <w:ind w:right="640" w:firstLineChars="1450" w:firstLine="4640"/>
        <w:rPr>
          <w:rFonts w:ascii="仿宋" w:eastAsia="仿宋" w:hAnsi="仿宋" w:cs="仿宋" w:hint="eastAsia"/>
          <w:color w:val="000000"/>
          <w:sz w:val="32"/>
          <w:szCs w:val="32"/>
          <w:shd w:val="clear" w:color="auto" w:fill="FFFFFF"/>
        </w:rPr>
      </w:pPr>
    </w:p>
    <w:p w:rsidR="00000000" w:rsidRDefault="00866A41">
      <w:pPr>
        <w:pStyle w:val="a9"/>
        <w:shd w:val="clear" w:color="auto" w:fill="FFFFFF"/>
        <w:spacing w:before="0" w:beforeAutospacing="0" w:after="0" w:afterAutospacing="0" w:line="590" w:lineRule="exact"/>
        <w:ind w:right="640" w:firstLineChars="1450" w:firstLine="4640"/>
        <w:rPr>
          <w:rFonts w:ascii="仿宋" w:eastAsia="仿宋" w:hAnsi="仿宋" w:cs="仿宋" w:hint="eastAsia"/>
          <w:color w:val="000000"/>
          <w:sz w:val="32"/>
          <w:szCs w:val="32"/>
          <w:shd w:val="clear" w:color="auto" w:fill="FFFFFF"/>
        </w:rPr>
      </w:pPr>
    </w:p>
    <w:p w:rsidR="00000000" w:rsidRDefault="00866A41">
      <w:pPr>
        <w:pStyle w:val="a9"/>
        <w:shd w:val="clear" w:color="auto" w:fill="FFFFFF"/>
        <w:spacing w:before="0" w:beforeAutospacing="0" w:after="0" w:afterAutospacing="0" w:line="590" w:lineRule="exact"/>
        <w:ind w:right="640" w:firstLineChars="1450" w:firstLine="4640"/>
        <w:rPr>
          <w:rFonts w:ascii="仿宋" w:eastAsia="仿宋" w:hAnsi="仿宋" w:cs="仿宋" w:hint="eastAsia"/>
          <w:color w:val="000000"/>
          <w:sz w:val="32"/>
          <w:szCs w:val="32"/>
          <w:shd w:val="clear" w:color="auto" w:fill="FFFFFF"/>
        </w:rPr>
      </w:pPr>
    </w:p>
    <w:p w:rsidR="00000000" w:rsidRDefault="00866A41">
      <w:pPr>
        <w:pStyle w:val="a9"/>
        <w:shd w:val="clear" w:color="auto" w:fill="FFFFFF"/>
        <w:spacing w:before="0" w:beforeAutospacing="0" w:after="0" w:afterAutospacing="0" w:line="590" w:lineRule="exact"/>
        <w:ind w:right="640" w:firstLineChars="1450" w:firstLine="4640"/>
        <w:rPr>
          <w:rFonts w:ascii="仿宋" w:eastAsia="仿宋" w:hAnsi="仿宋" w:cs="仿宋" w:hint="eastAsia"/>
          <w:color w:val="000000"/>
          <w:sz w:val="32"/>
          <w:szCs w:val="32"/>
        </w:rPr>
      </w:pPr>
      <w:r>
        <w:rPr>
          <w:rFonts w:ascii="仿宋" w:eastAsia="仿宋" w:hAnsi="仿宋" w:cs="仿宋" w:hint="eastAsia"/>
          <w:color w:val="000000"/>
          <w:sz w:val="32"/>
          <w:szCs w:val="32"/>
          <w:shd w:val="clear" w:color="auto" w:fill="FFFFFF"/>
        </w:rPr>
        <w:t>中华人民共和国公安部</w:t>
      </w:r>
    </w:p>
    <w:p w:rsidR="00000000" w:rsidRDefault="00866A41">
      <w:pPr>
        <w:pStyle w:val="a9"/>
        <w:shd w:val="clear" w:color="auto" w:fill="FFFFFF"/>
        <w:spacing w:before="0" w:beforeAutospacing="0" w:after="0" w:afterAutospacing="0" w:line="590" w:lineRule="exact"/>
        <w:ind w:right="640" w:firstLineChars="1550" w:firstLine="4960"/>
        <w:rPr>
          <w:rFonts w:ascii="仿宋" w:eastAsia="仿宋" w:hAnsi="仿宋" w:cs="仿宋" w:hint="eastAsia"/>
          <w:color w:val="000000"/>
          <w:sz w:val="32"/>
          <w:szCs w:val="32"/>
        </w:rPr>
      </w:pPr>
      <w:r>
        <w:rPr>
          <w:rFonts w:ascii="仿宋" w:eastAsia="仿宋" w:hAnsi="仿宋" w:cs="仿宋" w:hint="eastAsia"/>
          <w:color w:val="000000"/>
          <w:sz w:val="32"/>
          <w:szCs w:val="32"/>
          <w:shd w:val="clear" w:color="auto" w:fill="FFFFFF"/>
        </w:rPr>
        <w:t>2017</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12</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29</w:t>
      </w:r>
      <w:r>
        <w:rPr>
          <w:rFonts w:ascii="仿宋" w:eastAsia="仿宋" w:hAnsi="仿宋" w:cs="仿宋" w:hint="eastAsia"/>
          <w:color w:val="000000"/>
          <w:sz w:val="32"/>
          <w:szCs w:val="32"/>
          <w:shd w:val="clear" w:color="auto" w:fill="FFFFFF"/>
        </w:rPr>
        <w:t>日</w:t>
      </w:r>
    </w:p>
    <w:p w:rsidR="00000000" w:rsidRDefault="00866A41">
      <w:pPr>
        <w:widowControl/>
        <w:adjustRightInd w:val="0"/>
        <w:snapToGrid w:val="0"/>
        <w:spacing w:line="590" w:lineRule="exact"/>
        <w:rPr>
          <w:rFonts w:ascii="仿宋" w:eastAsia="仿宋" w:hAnsi="仿宋" w:cs="仿宋" w:hint="eastAsia"/>
          <w:sz w:val="32"/>
          <w:szCs w:val="32"/>
        </w:rPr>
        <w:sectPr w:rsidR="00000000">
          <w:pgSz w:w="11906" w:h="16838"/>
          <w:pgMar w:top="2098" w:right="1474" w:bottom="1985" w:left="1588" w:header="714" w:footer="1531" w:gutter="0"/>
          <w:cols w:space="720"/>
          <w:docGrid w:type="lines" w:linePitch="312"/>
        </w:sectPr>
      </w:pPr>
    </w:p>
    <w:p w:rsidR="00000000" w:rsidRDefault="00866A41">
      <w:pPr>
        <w:widowControl/>
        <w:adjustRightInd w:val="0"/>
        <w:snapToGrid w:val="0"/>
        <w:spacing w:line="590" w:lineRule="exact"/>
        <w:rPr>
          <w:rFonts w:ascii="仿宋" w:eastAsia="仿宋" w:hAnsi="仿宋" w:cs="仿宋" w:hint="eastAsia"/>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3</w:t>
      </w:r>
    </w:p>
    <w:p w:rsidR="00000000" w:rsidRDefault="00866A41">
      <w:pPr>
        <w:widowControl/>
        <w:adjustRightInd w:val="0"/>
        <w:snapToGrid w:val="0"/>
        <w:spacing w:line="590" w:lineRule="exact"/>
        <w:rPr>
          <w:rFonts w:ascii="仿宋" w:eastAsia="仿宋" w:hAnsi="仿宋" w:cs="仿宋" w:hint="eastAsia"/>
          <w:kern w:val="0"/>
          <w:sz w:val="32"/>
          <w:szCs w:val="32"/>
        </w:rPr>
      </w:pPr>
    </w:p>
    <w:p w:rsidR="00000000" w:rsidRDefault="00866A41">
      <w:pPr>
        <w:pStyle w:val="a9"/>
        <w:shd w:val="clear" w:color="auto" w:fill="FFFFFF"/>
        <w:spacing w:before="0" w:beforeAutospacing="0" w:after="0" w:afterAutospacing="0" w:line="590" w:lineRule="exact"/>
        <w:jc w:val="center"/>
        <w:rPr>
          <w:rFonts w:ascii="黑体" w:eastAsia="黑体" w:hAnsi="黑体" w:cs="黑体" w:hint="eastAsia"/>
          <w:sz w:val="44"/>
          <w:szCs w:val="44"/>
          <w:shd w:val="clear" w:color="auto" w:fill="FFFFFF"/>
        </w:rPr>
      </w:pPr>
      <w:r>
        <w:rPr>
          <w:rFonts w:ascii="黑体" w:eastAsia="黑体" w:hAnsi="黑体" w:cs="黑体" w:hint="eastAsia"/>
          <w:sz w:val="44"/>
          <w:szCs w:val="44"/>
          <w:shd w:val="clear" w:color="auto" w:fill="FFFFFF"/>
        </w:rPr>
        <w:t>电动车停放、充电场所与民用建筑燃气使用场所消防安全须知</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为深刻汲取近期省内外电动车和民用建筑燃气火灾事故教训，有效预防和遏制类似火灾事故发生，根据公安部统一部署，经省政府同意，省消防安全委员会决定加强电动车停放、充电场所和民用建筑燃气使用场所消防安全管理。现就有关场所消防安全须知公告如下</w:t>
      </w:r>
      <w:r>
        <w:rPr>
          <w:rFonts w:ascii="仿宋" w:eastAsia="仿宋" w:hAnsi="仿宋" w:cs="仿宋" w:hint="eastAsia"/>
          <w:sz w:val="32"/>
          <w:szCs w:val="32"/>
          <w:shd w:val="clear" w:color="auto" w:fill="FFFFFF"/>
        </w:rPr>
        <w:t>:</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一、电动车停放、充电场所消防安全须知</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、电动车应当在建筑外部的独立区域（如：车棚或车库）集中停放、充电，该区域与相邻建筑应保持一定安全间距。</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、受场地环境限制，电动车集中停放、充电区域无法独立</w:t>
      </w:r>
      <w:r>
        <w:rPr>
          <w:rFonts w:ascii="仿宋" w:eastAsia="仿宋" w:hAnsi="仿宋" w:cs="仿宋" w:hint="eastAsia"/>
          <w:sz w:val="32"/>
          <w:szCs w:val="32"/>
          <w:shd w:val="clear" w:color="auto" w:fill="FFFFFF"/>
        </w:rPr>
        <w:t>设置在建筑外部而必须附设在建筑内的，应设置在建筑首层或地下一层。设置在首层时，宜设置在无围护结构的架空区域；当设置在地下一层或采用封闭结构的首层时，应当与建筑其他区域采用实体防火墙和能自动关闭的甲级防火门窗进行严格防火分隔，并设置火灾自动报警、自动灭火设施和防排烟设施。</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、电动车严禁在住宅建筑疏散通道、安全出口、楼梯间（门洞口）、楼层楼道和电梯前室内停放、充电；严禁在群租房内停放、充电；严禁在人员密集场所内停放、充电。</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、电动车或其电池不得在住宅房屋内和阳台部位充电，只可在庭院灯露天部位充电。</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、电动</w:t>
      </w:r>
      <w:r>
        <w:rPr>
          <w:rFonts w:ascii="仿宋" w:eastAsia="仿宋" w:hAnsi="仿宋" w:cs="仿宋" w:hint="eastAsia"/>
          <w:sz w:val="32"/>
          <w:szCs w:val="32"/>
          <w:shd w:val="clear" w:color="auto" w:fill="FFFFFF"/>
        </w:rPr>
        <w:t>车集中充电区域设置专用充电装置并配置专用配电箱。充电装置应具备定时断电、过载保护、短路保护、漏电保护等功能。</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物业管理单位（或承担相应职能的单位）应立即对所在住宅小区、单位的电动车占用禁停区域私停乱放、私搭乱接电线等违规情况进行集中清理；要因地制宜集中设置电动车充电区域；要在禁停区域醒目位置张贴电动车禁停标识，定时开展检查巡查，及时劝阻、制止违规停放、充电行为。对不听劝阻或者拒不配合清理工作的，物业管理单位要第一时间报告当地公安机关，由公安机关依据《治安管理处罚法》、《消防法》等法律法规严肃查处。</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二、</w:t>
      </w:r>
      <w:r>
        <w:rPr>
          <w:rFonts w:ascii="仿宋" w:eastAsia="仿宋" w:hAnsi="仿宋" w:cs="仿宋" w:hint="eastAsia"/>
          <w:sz w:val="32"/>
          <w:szCs w:val="32"/>
          <w:shd w:val="clear" w:color="auto" w:fill="FFFFFF"/>
        </w:rPr>
        <w:t>民用建筑燃气使用场所消防安全须知</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严禁在高层建筑、地下建筑和通风不良的场所内使用、储存瓶装液化石油气；严禁在集体宿舍、单身公寓、酒店式公寓、公寓式酒店内使用、储存瓶装液化石油气；严禁在居住房间内使用、储存瓶装液化石油气。</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、使用燃气的住宅用户宜安装可燃气体浓度探测、警报装置，燃气使用过程中，人不得长时间离开。</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经营性场所严禁将液化石油气气瓶和管道布置在营业厅内；严禁将气瓶和灶具放置在人员主要出入口；当使用液化石油气气瓶组供气时，应当符合相关法律法规和技术标准规定，设置独立瓶组间，瓶组总容积不大于</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立方。经营性场所的厨房和瓶组间应当安装具备紧急事故自动切断和防爆排风功能的可燃气体浓度探测、警报装置。</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用户应当通过正规渠道购买、使用瓶装液化石油气；应当使用定期检验合格、瓶体外观无损伤且未超过法定使用期限的钢瓶；应当使用质量合格的减压阀、软管和灶具。严禁购买非法商贩出售的瓶装液化石油气。</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、燃气钢瓶应放置在通风良好、周围无可燃物的地方，距灶具或热源不得小于</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米。</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、用户应当定期采用耳听、鼻闻或涂抹肥皂液等方法，检查燃气瓶体（焊缝、瓶底、锈蚀点等关键部位），阀门、胶管、接口、灶具等部位是否漏气。当发</w:t>
      </w:r>
      <w:r>
        <w:rPr>
          <w:rFonts w:ascii="仿宋" w:eastAsia="仿宋" w:hAnsi="仿宋" w:cs="仿宋" w:hint="eastAsia"/>
          <w:sz w:val="32"/>
          <w:szCs w:val="32"/>
          <w:shd w:val="clear" w:color="auto" w:fill="FFFFFF"/>
        </w:rPr>
        <w:t>现泄露时，应立即关闭燃气阀门，并打开门窗通风，禁止开、关一切电器，同时向供气单位报修。</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、严禁私拆、私迁、私改燃气管线和设施；严禁在燃气管线上放置、搭接物品或挂绳；严禁私自倾倒液化石油气残液或者用气瓶倒灌；严禁加热、摔砸、倒卧、暴晒气瓶；严禁拆卸钢瓶角阀和减压阀零部件。</w:t>
      </w:r>
    </w:p>
    <w:p w:rsidR="00000000" w:rsidRDefault="00866A41">
      <w:pPr>
        <w:pStyle w:val="a9"/>
        <w:shd w:val="clear" w:color="auto"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auto" w:fill="FFFFFF"/>
        </w:rPr>
        <w:t>此公告</w:t>
      </w: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shd w:val="clear" w:color="auto" w:fill="FFFFFF"/>
        </w:rPr>
      </w:pPr>
    </w:p>
    <w:p w:rsidR="00000000" w:rsidRDefault="00866A41">
      <w:pPr>
        <w:pStyle w:val="a9"/>
        <w:shd w:val="clear" w:color="auto" w:fill="FFFFFF"/>
        <w:spacing w:before="0" w:beforeAutospacing="0" w:after="0" w:afterAutospacing="0" w:line="590" w:lineRule="exact"/>
        <w:ind w:firstLineChars="1400" w:firstLine="4480"/>
        <w:jc w:val="both"/>
        <w:rPr>
          <w:rFonts w:ascii="仿宋" w:eastAsia="仿宋" w:hAnsi="仿宋" w:cs="仿宋" w:hint="eastAsia"/>
          <w:sz w:val="32"/>
          <w:szCs w:val="32"/>
        </w:rPr>
      </w:pPr>
      <w:r>
        <w:rPr>
          <w:rFonts w:ascii="仿宋" w:eastAsia="仿宋" w:hAnsi="仿宋" w:cs="仿宋" w:hint="eastAsia"/>
          <w:sz w:val="32"/>
          <w:szCs w:val="32"/>
          <w:shd w:val="clear" w:color="auto" w:fill="FFFFFF"/>
        </w:rPr>
        <w:t>江苏省消防安全委员会</w:t>
      </w:r>
    </w:p>
    <w:p w:rsidR="00000000" w:rsidRDefault="00866A41">
      <w:pPr>
        <w:pStyle w:val="a9"/>
        <w:shd w:val="clear" w:color="auto" w:fill="FFFFFF"/>
        <w:spacing w:before="0" w:beforeAutospacing="0" w:after="0" w:afterAutospacing="0" w:line="590" w:lineRule="exact"/>
        <w:ind w:firstLineChars="1500" w:firstLine="4800"/>
        <w:jc w:val="both"/>
        <w:rPr>
          <w:rFonts w:ascii="仿宋" w:eastAsia="仿宋" w:hAnsi="仿宋" w:cs="仿宋" w:hint="eastAsia"/>
          <w:sz w:val="32"/>
          <w:szCs w:val="32"/>
        </w:rPr>
      </w:pPr>
      <w:r>
        <w:rPr>
          <w:rFonts w:ascii="仿宋" w:eastAsia="仿宋" w:hAnsi="仿宋" w:cs="仿宋" w:hint="eastAsia"/>
          <w:sz w:val="32"/>
          <w:szCs w:val="32"/>
          <w:shd w:val="clear" w:color="auto" w:fill="FFFFFF"/>
        </w:rPr>
        <w:t>2017</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27</w:t>
      </w:r>
      <w:r>
        <w:rPr>
          <w:rFonts w:ascii="仿宋" w:eastAsia="仿宋" w:hAnsi="仿宋" w:cs="仿宋" w:hint="eastAsia"/>
          <w:sz w:val="32"/>
          <w:szCs w:val="32"/>
          <w:shd w:val="clear" w:color="auto" w:fill="FFFFFF"/>
        </w:rPr>
        <w:t>日</w:t>
      </w:r>
    </w:p>
    <w:p w:rsidR="00000000" w:rsidRDefault="00866A41">
      <w:pPr>
        <w:widowControl/>
        <w:adjustRightInd w:val="0"/>
        <w:snapToGrid w:val="0"/>
        <w:spacing w:line="590" w:lineRule="exact"/>
        <w:rPr>
          <w:rFonts w:ascii="仿宋" w:eastAsia="仿宋" w:hAnsi="仿宋" w:cs="仿宋" w:hint="eastAsia"/>
          <w:kern w:val="0"/>
          <w:sz w:val="32"/>
          <w:szCs w:val="32"/>
        </w:rPr>
      </w:pPr>
      <w:r>
        <w:rPr>
          <w:rFonts w:ascii="仿宋" w:eastAsia="仿宋" w:hAnsi="仿宋" w:cs="仿宋" w:hint="eastAsia"/>
          <w:sz w:val="32"/>
          <w:szCs w:val="32"/>
        </w:rPr>
        <w:br w:type="page"/>
      </w:r>
      <w:r>
        <w:rPr>
          <w:rFonts w:ascii="仿宋" w:eastAsia="仿宋" w:hAnsi="仿宋" w:cs="仿宋" w:hint="eastAsia"/>
          <w:kern w:val="0"/>
          <w:sz w:val="32"/>
          <w:szCs w:val="32"/>
        </w:rPr>
        <w:t>附件</w:t>
      </w:r>
      <w:r>
        <w:rPr>
          <w:rFonts w:ascii="仿宋" w:eastAsia="仿宋" w:hAnsi="仿宋" w:cs="仿宋" w:hint="eastAsia"/>
          <w:kern w:val="0"/>
          <w:sz w:val="32"/>
          <w:szCs w:val="32"/>
        </w:rPr>
        <w:t>4</w:t>
      </w:r>
    </w:p>
    <w:p w:rsidR="00000000" w:rsidRDefault="00866A41">
      <w:pPr>
        <w:widowControl/>
        <w:adjustRightInd w:val="0"/>
        <w:snapToGrid w:val="0"/>
        <w:spacing w:line="590" w:lineRule="exact"/>
        <w:rPr>
          <w:rFonts w:ascii="仿宋" w:eastAsia="仿宋" w:hAnsi="仿宋" w:cs="仿宋" w:hint="eastAsia"/>
          <w:kern w:val="0"/>
          <w:sz w:val="32"/>
          <w:szCs w:val="32"/>
        </w:rPr>
      </w:pPr>
    </w:p>
    <w:p w:rsidR="00000000" w:rsidRDefault="00866A41">
      <w:pPr>
        <w:snapToGrid w:val="0"/>
        <w:spacing w:line="590" w:lineRule="exact"/>
        <w:jc w:val="center"/>
        <w:rPr>
          <w:rFonts w:ascii="黑体" w:eastAsia="黑体" w:hAnsi="黑体" w:cs="黑体" w:hint="eastAsia"/>
          <w:w w:val="99"/>
          <w:kern w:val="13"/>
          <w:sz w:val="44"/>
          <w:szCs w:val="44"/>
        </w:rPr>
      </w:pPr>
      <w:r>
        <w:rPr>
          <w:rFonts w:ascii="黑体" w:eastAsia="黑体" w:hAnsi="黑体" w:cs="黑体" w:hint="eastAsia"/>
          <w:w w:val="99"/>
          <w:kern w:val="13"/>
          <w:sz w:val="44"/>
          <w:szCs w:val="44"/>
        </w:rPr>
        <w:t>市电动自行车消防安全综合治理协调小组及</w:t>
      </w:r>
    </w:p>
    <w:p w:rsidR="00000000" w:rsidRDefault="00866A41">
      <w:pPr>
        <w:snapToGrid w:val="0"/>
        <w:spacing w:line="590" w:lineRule="exact"/>
        <w:jc w:val="center"/>
        <w:rPr>
          <w:rFonts w:ascii="黑体" w:eastAsia="黑体" w:hAnsi="黑体" w:cs="黑体" w:hint="eastAsia"/>
          <w:w w:val="99"/>
          <w:kern w:val="13"/>
          <w:sz w:val="44"/>
          <w:szCs w:val="44"/>
        </w:rPr>
      </w:pPr>
      <w:r>
        <w:rPr>
          <w:rFonts w:ascii="黑体" w:eastAsia="黑体" w:hAnsi="黑体" w:cs="黑体" w:hint="eastAsia"/>
          <w:w w:val="99"/>
          <w:kern w:val="13"/>
          <w:sz w:val="44"/>
          <w:szCs w:val="44"/>
        </w:rPr>
        <w:t>办公室组成人员名单</w:t>
      </w:r>
    </w:p>
    <w:p w:rsidR="00000000" w:rsidRDefault="00866A41">
      <w:pPr>
        <w:snapToGrid w:val="0"/>
        <w:spacing w:line="590" w:lineRule="exact"/>
        <w:jc w:val="center"/>
        <w:rPr>
          <w:rFonts w:ascii="仿宋" w:eastAsia="仿宋" w:hAnsi="仿宋" w:cs="仿宋" w:hint="eastAsia"/>
          <w:w w:val="99"/>
          <w:kern w:val="13"/>
          <w:sz w:val="32"/>
          <w:szCs w:val="32"/>
        </w:rPr>
      </w:pP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一、协调小组人员名单</w:t>
      </w: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市安委会成立电动自行车消防安全综合治理协调小组，负责综合治理工作的组织协调</w:t>
      </w:r>
      <w:r>
        <w:rPr>
          <w:rFonts w:ascii="仿宋" w:eastAsia="仿宋" w:hAnsi="仿宋" w:cs="仿宋" w:hint="eastAsia"/>
          <w:sz w:val="32"/>
          <w:szCs w:val="32"/>
          <w:lang w:val="en-GB"/>
        </w:rPr>
        <w:t>和统筹调度，组成人员名单如下：</w:t>
      </w: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组</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长：</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郭海健</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市政府</w:t>
      </w:r>
      <w:r>
        <w:rPr>
          <w:rFonts w:ascii="仿宋" w:eastAsia="仿宋" w:hAnsi="仿宋" w:cs="仿宋" w:hint="eastAsia"/>
          <w:sz w:val="32"/>
          <w:szCs w:val="32"/>
          <w:lang w:val="en-GB"/>
        </w:rPr>
        <w:t>法制办主任</w:t>
      </w: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成</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员：</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冯</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平</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市公安局副局长</w:t>
      </w:r>
    </w:p>
    <w:p w:rsidR="00000000" w:rsidRDefault="00866A41">
      <w:pPr>
        <w:overflowPunct w:val="0"/>
        <w:topLinePunct/>
        <w:autoSpaceDE w:val="0"/>
        <w:autoSpaceDN w:val="0"/>
        <w:snapToGrid w:val="0"/>
        <w:spacing w:line="590" w:lineRule="exact"/>
        <w:ind w:firstLineChars="650" w:firstLine="2080"/>
        <w:rPr>
          <w:rFonts w:ascii="仿宋" w:eastAsia="仿宋" w:hAnsi="仿宋" w:cs="仿宋" w:hint="eastAsia"/>
          <w:sz w:val="32"/>
          <w:szCs w:val="32"/>
          <w:lang w:val="en-GB"/>
        </w:rPr>
      </w:pPr>
      <w:r>
        <w:rPr>
          <w:rFonts w:ascii="仿宋" w:eastAsia="仿宋" w:hAnsi="仿宋" w:cs="仿宋" w:hint="eastAsia"/>
          <w:sz w:val="32"/>
          <w:szCs w:val="32"/>
          <w:lang w:val="en-GB"/>
        </w:rPr>
        <w:t>张潜泉</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市安监局副局长</w:t>
      </w:r>
    </w:p>
    <w:p w:rsidR="00000000" w:rsidRDefault="00866A41">
      <w:pPr>
        <w:overflowPunct w:val="0"/>
        <w:topLinePunct/>
        <w:autoSpaceDE w:val="0"/>
        <w:autoSpaceDN w:val="0"/>
        <w:snapToGrid w:val="0"/>
        <w:spacing w:line="590" w:lineRule="exact"/>
        <w:ind w:firstLineChars="650" w:firstLine="2080"/>
        <w:rPr>
          <w:rFonts w:ascii="仿宋" w:eastAsia="仿宋" w:hAnsi="仿宋" w:cs="仿宋" w:hint="eastAsia"/>
          <w:sz w:val="32"/>
          <w:szCs w:val="32"/>
          <w:lang w:val="en-GB"/>
        </w:rPr>
      </w:pPr>
      <w:r>
        <w:rPr>
          <w:rFonts w:ascii="仿宋" w:eastAsia="仿宋" w:hAnsi="仿宋" w:cs="仿宋" w:hint="eastAsia"/>
          <w:sz w:val="32"/>
          <w:szCs w:val="32"/>
          <w:lang w:val="en-GB"/>
        </w:rPr>
        <w:t>朱新球</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w:t>
      </w:r>
      <w:r>
        <w:rPr>
          <w:rFonts w:ascii="仿宋" w:eastAsia="仿宋" w:hAnsi="仿宋" w:cs="仿宋" w:hint="eastAsia"/>
          <w:sz w:val="32"/>
          <w:szCs w:val="32"/>
          <w:lang w:val="en-GB"/>
        </w:rPr>
        <w:t>发改</w:t>
      </w:r>
      <w:r>
        <w:rPr>
          <w:rFonts w:ascii="仿宋" w:eastAsia="仿宋" w:hAnsi="仿宋" w:cs="仿宋" w:hint="eastAsia"/>
          <w:sz w:val="32"/>
          <w:szCs w:val="32"/>
          <w:lang w:val="en-GB"/>
        </w:rPr>
        <w:t>委副主任</w:t>
      </w:r>
    </w:p>
    <w:p w:rsidR="00000000" w:rsidRDefault="00866A41">
      <w:pPr>
        <w:overflowPunct w:val="0"/>
        <w:topLinePunct/>
        <w:autoSpaceDE w:val="0"/>
        <w:autoSpaceDN w:val="0"/>
        <w:snapToGrid w:val="0"/>
        <w:spacing w:line="590" w:lineRule="exact"/>
        <w:ind w:firstLineChars="650" w:firstLine="2080"/>
        <w:rPr>
          <w:rFonts w:ascii="仿宋" w:eastAsia="仿宋" w:hAnsi="仿宋" w:cs="仿宋" w:hint="eastAsia"/>
          <w:sz w:val="32"/>
          <w:szCs w:val="32"/>
          <w:lang w:val="en-GB"/>
        </w:rPr>
      </w:pPr>
      <w:r>
        <w:rPr>
          <w:rFonts w:ascii="仿宋" w:eastAsia="仿宋" w:hAnsi="仿宋" w:cs="仿宋" w:hint="eastAsia"/>
          <w:sz w:val="32"/>
          <w:szCs w:val="32"/>
          <w:lang w:val="en-GB"/>
        </w:rPr>
        <w:t>黄建平</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w:t>
      </w:r>
      <w:r>
        <w:rPr>
          <w:rFonts w:ascii="仿宋" w:eastAsia="仿宋" w:hAnsi="仿宋" w:cs="仿宋" w:hint="eastAsia"/>
          <w:sz w:val="32"/>
          <w:szCs w:val="32"/>
          <w:lang w:val="en-GB"/>
        </w:rPr>
        <w:t>住建</w:t>
      </w:r>
      <w:r>
        <w:rPr>
          <w:rFonts w:ascii="仿宋" w:eastAsia="仿宋" w:hAnsi="仿宋" w:cs="仿宋" w:hint="eastAsia"/>
          <w:sz w:val="32"/>
          <w:szCs w:val="32"/>
          <w:lang w:val="en-GB"/>
        </w:rPr>
        <w:t>局副局长</w:t>
      </w:r>
    </w:p>
    <w:p w:rsidR="00000000" w:rsidRDefault="00866A41">
      <w:pPr>
        <w:overflowPunct w:val="0"/>
        <w:topLinePunct/>
        <w:autoSpaceDE w:val="0"/>
        <w:autoSpaceDN w:val="0"/>
        <w:snapToGrid w:val="0"/>
        <w:spacing w:line="590" w:lineRule="exact"/>
        <w:ind w:firstLineChars="650" w:firstLine="2080"/>
        <w:rPr>
          <w:rFonts w:ascii="仿宋" w:eastAsia="仿宋" w:hAnsi="仿宋" w:cs="仿宋" w:hint="eastAsia"/>
          <w:sz w:val="32"/>
          <w:szCs w:val="32"/>
          <w:lang w:val="en-GB"/>
        </w:rPr>
      </w:pPr>
      <w:r>
        <w:rPr>
          <w:rFonts w:ascii="仿宋" w:eastAsia="仿宋" w:hAnsi="仿宋" w:cs="仿宋" w:hint="eastAsia"/>
          <w:sz w:val="32"/>
          <w:szCs w:val="32"/>
          <w:lang w:val="en-GB"/>
        </w:rPr>
        <w:t>黄琛琛</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市市管局副局长</w:t>
      </w:r>
    </w:p>
    <w:p w:rsidR="00000000" w:rsidRDefault="00866A41">
      <w:pPr>
        <w:overflowPunct w:val="0"/>
        <w:topLinePunct/>
        <w:autoSpaceDE w:val="0"/>
        <w:autoSpaceDN w:val="0"/>
        <w:snapToGrid w:val="0"/>
        <w:spacing w:line="590" w:lineRule="exact"/>
        <w:ind w:firstLineChars="650" w:firstLine="2080"/>
        <w:rPr>
          <w:rFonts w:ascii="仿宋" w:eastAsia="仿宋" w:hAnsi="仿宋" w:cs="仿宋" w:hint="eastAsia"/>
          <w:sz w:val="32"/>
          <w:szCs w:val="32"/>
          <w:lang w:val="en-GB"/>
        </w:rPr>
      </w:pPr>
      <w:r>
        <w:rPr>
          <w:rFonts w:ascii="仿宋" w:eastAsia="仿宋" w:hAnsi="仿宋" w:cs="仿宋" w:hint="eastAsia"/>
          <w:sz w:val="32"/>
          <w:szCs w:val="32"/>
          <w:lang w:val="en-GB"/>
        </w:rPr>
        <w:t>戴启和</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市公安消防大队大队长</w:t>
      </w: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二、办公室组成人员名单</w:t>
      </w: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协调小组办公室设在市公安消防支队，承担综合治理协调小组日常工作，组成人员名单如下：</w:t>
      </w: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主</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任：戴启和</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市公安消防大队大队长</w:t>
      </w: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highlight w:val="yellow"/>
          <w:lang w:val="en-GB"/>
        </w:rPr>
      </w:pPr>
      <w:r>
        <w:rPr>
          <w:rFonts w:ascii="仿宋" w:eastAsia="仿宋" w:hAnsi="仿宋" w:cs="仿宋" w:hint="eastAsia"/>
          <w:sz w:val="32"/>
          <w:szCs w:val="32"/>
          <w:lang w:val="en-GB"/>
        </w:rPr>
        <w:t>副主任：丁伟强</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市公安消防大队工程师</w:t>
      </w:r>
    </w:p>
    <w:p w:rsidR="00000000" w:rsidRDefault="00866A41">
      <w:pPr>
        <w:overflowPunct w:val="0"/>
        <w:topLinePunct/>
        <w:autoSpaceDE w:val="0"/>
        <w:autoSpaceDN w:val="0"/>
        <w:snapToGrid w:val="0"/>
        <w:spacing w:line="590" w:lineRule="exact"/>
        <w:ind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成</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员：</w:t>
      </w:r>
      <w:r>
        <w:rPr>
          <w:rFonts w:ascii="仿宋" w:eastAsia="仿宋" w:hAnsi="仿宋" w:cs="仿宋" w:hint="eastAsia"/>
          <w:sz w:val="32"/>
          <w:szCs w:val="32"/>
          <w:lang w:val="en-GB"/>
        </w:rPr>
        <w:t>张海兵</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市安监局监管三</w:t>
      </w:r>
      <w:r>
        <w:rPr>
          <w:rFonts w:ascii="仿宋" w:eastAsia="仿宋" w:hAnsi="仿宋" w:cs="仿宋" w:hint="eastAsia"/>
          <w:sz w:val="32"/>
          <w:szCs w:val="32"/>
          <w:lang w:val="en-GB"/>
        </w:rPr>
        <w:t>科科</w:t>
      </w:r>
      <w:r>
        <w:rPr>
          <w:rFonts w:ascii="仿宋" w:eastAsia="仿宋" w:hAnsi="仿宋" w:cs="仿宋" w:hint="eastAsia"/>
          <w:sz w:val="32"/>
          <w:szCs w:val="32"/>
          <w:lang w:val="en-GB"/>
        </w:rPr>
        <w:t>长</w:t>
      </w:r>
    </w:p>
    <w:p w:rsidR="00000000" w:rsidRDefault="00866A41">
      <w:pPr>
        <w:overflowPunct w:val="0"/>
        <w:topLinePunct/>
        <w:autoSpaceDE w:val="0"/>
        <w:autoSpaceDN w:val="0"/>
        <w:snapToGrid w:val="0"/>
        <w:spacing w:line="590" w:lineRule="exact"/>
        <w:ind w:firstLineChars="600" w:firstLine="1920"/>
        <w:rPr>
          <w:rFonts w:ascii="仿宋" w:eastAsia="仿宋" w:hAnsi="仿宋" w:cs="仿宋" w:hint="eastAsia"/>
          <w:sz w:val="32"/>
          <w:szCs w:val="32"/>
        </w:rPr>
      </w:pPr>
      <w:r>
        <w:rPr>
          <w:rFonts w:ascii="仿宋" w:eastAsia="仿宋" w:hAnsi="仿宋" w:cs="仿宋" w:hint="eastAsia"/>
          <w:sz w:val="32"/>
          <w:szCs w:val="32"/>
          <w:lang w:val="en-GB"/>
        </w:rPr>
        <w:t>朱锦新</w:t>
      </w:r>
      <w:r>
        <w:rPr>
          <w:rFonts w:ascii="仿宋" w:eastAsia="仿宋" w:hAnsi="仿宋" w:cs="仿宋" w:hint="eastAsia"/>
          <w:sz w:val="32"/>
          <w:szCs w:val="32"/>
        </w:rPr>
        <w:t xml:space="preserve">   </w:t>
      </w:r>
      <w:r>
        <w:rPr>
          <w:rFonts w:ascii="仿宋" w:eastAsia="仿宋" w:hAnsi="仿宋" w:cs="仿宋" w:hint="eastAsia"/>
          <w:sz w:val="32"/>
          <w:szCs w:val="32"/>
        </w:rPr>
        <w:t>市发改委体改科科长</w:t>
      </w:r>
    </w:p>
    <w:p w:rsidR="00000000" w:rsidRDefault="00866A41">
      <w:pPr>
        <w:overflowPunct w:val="0"/>
        <w:topLinePunct/>
        <w:autoSpaceDE w:val="0"/>
        <w:autoSpaceDN w:val="0"/>
        <w:snapToGrid w:val="0"/>
        <w:spacing w:line="590" w:lineRule="exact"/>
        <w:ind w:firstLineChars="600" w:firstLine="1920"/>
        <w:rPr>
          <w:rFonts w:ascii="仿宋" w:eastAsia="仿宋" w:hAnsi="仿宋" w:cs="仿宋" w:hint="eastAsia"/>
          <w:sz w:val="32"/>
          <w:szCs w:val="32"/>
        </w:rPr>
      </w:pPr>
      <w:r>
        <w:rPr>
          <w:rFonts w:ascii="仿宋" w:eastAsia="仿宋" w:hAnsi="仿宋" w:cs="仿宋" w:hint="eastAsia"/>
          <w:sz w:val="32"/>
          <w:szCs w:val="32"/>
        </w:rPr>
        <w:t>张</w:t>
      </w:r>
      <w:r>
        <w:rPr>
          <w:rFonts w:ascii="仿宋" w:eastAsia="仿宋" w:hAnsi="仿宋" w:cs="仿宋" w:hint="eastAsia"/>
          <w:sz w:val="32"/>
          <w:szCs w:val="32"/>
        </w:rPr>
        <w:t xml:space="preserve">  </w:t>
      </w:r>
      <w:r>
        <w:rPr>
          <w:rFonts w:ascii="仿宋" w:eastAsia="仿宋" w:hAnsi="仿宋" w:cs="仿宋" w:hint="eastAsia"/>
          <w:sz w:val="32"/>
          <w:szCs w:val="32"/>
        </w:rPr>
        <w:t>军</w:t>
      </w:r>
      <w:r>
        <w:rPr>
          <w:rFonts w:ascii="仿宋" w:eastAsia="仿宋" w:hAnsi="仿宋" w:cs="仿宋" w:hint="eastAsia"/>
          <w:sz w:val="32"/>
          <w:szCs w:val="32"/>
        </w:rPr>
        <w:t xml:space="preserve">   </w:t>
      </w:r>
      <w:r>
        <w:rPr>
          <w:rFonts w:ascii="仿宋" w:eastAsia="仿宋" w:hAnsi="仿宋" w:cs="仿宋" w:hint="eastAsia"/>
          <w:sz w:val="32"/>
          <w:szCs w:val="32"/>
        </w:rPr>
        <w:t>市市管局综合监管科科长</w:t>
      </w:r>
    </w:p>
    <w:p w:rsidR="00000000" w:rsidRDefault="00866A41">
      <w:pPr>
        <w:overflowPunct w:val="0"/>
        <w:topLinePunct/>
        <w:autoSpaceDE w:val="0"/>
        <w:autoSpaceDN w:val="0"/>
        <w:snapToGrid w:val="0"/>
        <w:spacing w:line="590" w:lineRule="exact"/>
        <w:ind w:firstLineChars="600" w:firstLine="1920"/>
        <w:rPr>
          <w:rFonts w:ascii="仿宋" w:eastAsia="仿宋" w:hAnsi="仿宋" w:cs="仿宋" w:hint="eastAsia"/>
          <w:sz w:val="32"/>
          <w:szCs w:val="32"/>
        </w:rPr>
      </w:pPr>
      <w:r>
        <w:rPr>
          <w:rFonts w:ascii="仿宋" w:eastAsia="仿宋" w:hAnsi="仿宋" w:cs="仿宋" w:hint="eastAsia"/>
          <w:sz w:val="32"/>
          <w:szCs w:val="32"/>
        </w:rPr>
        <w:t>丁建辉</w:t>
      </w:r>
      <w:r>
        <w:rPr>
          <w:rFonts w:ascii="仿宋" w:eastAsia="仿宋" w:hAnsi="仿宋" w:cs="仿宋" w:hint="eastAsia"/>
          <w:sz w:val="32"/>
          <w:szCs w:val="32"/>
        </w:rPr>
        <w:t xml:space="preserve">   </w:t>
      </w:r>
      <w:r>
        <w:rPr>
          <w:rFonts w:ascii="仿宋" w:eastAsia="仿宋" w:hAnsi="仿宋" w:cs="仿宋" w:hint="eastAsia"/>
          <w:sz w:val="32"/>
          <w:szCs w:val="32"/>
        </w:rPr>
        <w:t>市住建局物业管理科科长</w:t>
      </w:r>
    </w:p>
    <w:p w:rsidR="00000000" w:rsidRDefault="00866A41">
      <w:pPr>
        <w:overflowPunct w:val="0"/>
        <w:topLinePunct/>
        <w:autoSpaceDE w:val="0"/>
        <w:autoSpaceDN w:val="0"/>
        <w:snapToGrid w:val="0"/>
        <w:spacing w:line="590" w:lineRule="exact"/>
        <w:ind w:firstLineChars="600" w:firstLine="1920"/>
        <w:rPr>
          <w:rFonts w:ascii="仿宋" w:eastAsia="仿宋" w:hAnsi="仿宋" w:cs="仿宋" w:hint="eastAsia"/>
          <w:sz w:val="32"/>
          <w:szCs w:val="32"/>
          <w:lang w:val="en-GB"/>
        </w:rPr>
      </w:pPr>
      <w:r>
        <w:rPr>
          <w:rFonts w:ascii="仿宋" w:eastAsia="仿宋" w:hAnsi="仿宋" w:cs="仿宋" w:hint="eastAsia"/>
          <w:sz w:val="32"/>
          <w:szCs w:val="32"/>
          <w:lang w:val="en-GB"/>
        </w:rPr>
        <w:t>王季林</w:t>
      </w:r>
      <w:r>
        <w:rPr>
          <w:rFonts w:ascii="仿宋" w:eastAsia="仿宋" w:hAnsi="仿宋" w:cs="仿宋" w:hint="eastAsia"/>
          <w:sz w:val="32"/>
          <w:szCs w:val="32"/>
          <w:lang w:val="en-GB"/>
        </w:rPr>
        <w:t xml:space="preserve">   </w:t>
      </w:r>
      <w:r>
        <w:rPr>
          <w:rFonts w:ascii="仿宋" w:eastAsia="仿宋" w:hAnsi="仿宋" w:cs="仿宋" w:hint="eastAsia"/>
          <w:sz w:val="32"/>
          <w:szCs w:val="32"/>
          <w:lang w:val="en-GB"/>
        </w:rPr>
        <w:t>市消防大队参谋</w:t>
      </w:r>
    </w:p>
    <w:p w:rsidR="00000000" w:rsidRDefault="00866A41">
      <w:pPr>
        <w:spacing w:line="590" w:lineRule="exact"/>
        <w:ind w:right="160" w:firstLineChars="200" w:firstLine="640"/>
        <w:rPr>
          <w:rFonts w:ascii="仿宋" w:eastAsia="仿宋" w:hAnsi="仿宋" w:cs="仿宋" w:hint="eastAsia"/>
          <w:sz w:val="32"/>
          <w:szCs w:val="32"/>
          <w:lang w:val="en-GB"/>
        </w:rPr>
      </w:pPr>
      <w:r>
        <w:rPr>
          <w:rFonts w:ascii="仿宋" w:eastAsia="仿宋" w:hAnsi="仿宋" w:cs="仿宋" w:hint="eastAsia"/>
          <w:sz w:val="32"/>
          <w:szCs w:val="32"/>
          <w:lang w:val="en-GB"/>
        </w:rPr>
        <w:t>综合治理协调小组及办公室组成人员如有变动，由成员单位自行调整替补，并报协调小组办公室备案。</w:t>
      </w: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pPr>
    </w:p>
    <w:p w:rsidR="00000000" w:rsidRDefault="00866A41">
      <w:pPr>
        <w:spacing w:line="520" w:lineRule="exact"/>
        <w:ind w:right="640" w:firstLineChars="200" w:firstLine="640"/>
        <w:jc w:val="center"/>
        <w:rPr>
          <w:rFonts w:ascii="仿宋" w:eastAsia="仿宋" w:hAnsi="仿宋" w:cs="仿宋" w:hint="eastAsia"/>
          <w:sz w:val="32"/>
          <w:szCs w:val="32"/>
          <w:lang w:val="en-GB"/>
        </w:rPr>
        <w:sectPr w:rsidR="00000000">
          <w:pgSz w:w="11906" w:h="16838"/>
          <w:pgMar w:top="2098" w:right="1474" w:bottom="1985" w:left="1588" w:header="714" w:footer="1531" w:gutter="0"/>
          <w:cols w:space="720"/>
          <w:docGrid w:type="lines" w:linePitch="312"/>
        </w:sectPr>
      </w:pPr>
    </w:p>
    <w:p w:rsidR="00000000" w:rsidRDefault="00866A41">
      <w:pPr>
        <w:widowControl/>
        <w:adjustRightInd w:val="0"/>
        <w:snapToGrid w:val="0"/>
        <w:spacing w:line="500" w:lineRule="exact"/>
        <w:rPr>
          <w:rFonts w:ascii="仿宋" w:eastAsia="仿宋" w:hAnsi="仿宋" w:cs="仿宋" w:hint="eastAsia"/>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5</w:t>
      </w:r>
    </w:p>
    <w:p w:rsidR="00000000" w:rsidRDefault="00866A41">
      <w:pPr>
        <w:snapToGrid w:val="0"/>
        <w:spacing w:line="500" w:lineRule="exact"/>
        <w:jc w:val="center"/>
        <w:rPr>
          <w:rFonts w:ascii="黑体" w:eastAsia="黑体" w:hAnsi="黑体" w:cs="黑体" w:hint="eastAsia"/>
          <w:bCs/>
          <w:kern w:val="0"/>
          <w:sz w:val="44"/>
          <w:szCs w:val="44"/>
        </w:rPr>
      </w:pPr>
      <w:r>
        <w:rPr>
          <w:rFonts w:ascii="黑体" w:eastAsia="黑体" w:hAnsi="黑体" w:cs="黑体" w:hint="eastAsia"/>
          <w:bCs/>
          <w:kern w:val="0"/>
          <w:sz w:val="44"/>
          <w:szCs w:val="44"/>
        </w:rPr>
        <w:t>电动自行车消防安全综合治理基本情况表</w:t>
      </w:r>
    </w:p>
    <w:p w:rsidR="00000000" w:rsidRDefault="00866A41">
      <w:pPr>
        <w:snapToGrid w:val="0"/>
        <w:spacing w:line="500" w:lineRule="exact"/>
        <w:jc w:val="center"/>
        <w:rPr>
          <w:rFonts w:ascii="仿宋" w:eastAsia="仿宋" w:hAnsi="仿宋" w:cs="仿宋" w:hint="eastAsia"/>
          <w:bCs/>
          <w:kern w:val="0"/>
          <w:sz w:val="32"/>
          <w:szCs w:val="32"/>
        </w:rPr>
      </w:pPr>
    </w:p>
    <w:p w:rsidR="00000000" w:rsidRDefault="00866A41">
      <w:pPr>
        <w:snapToGrid w:val="0"/>
        <w:spacing w:line="500" w:lineRule="exact"/>
        <w:jc w:val="left"/>
        <w:rPr>
          <w:rFonts w:ascii="仿宋" w:eastAsia="仿宋" w:hAnsi="仿宋" w:cs="仿宋" w:hint="eastAsia"/>
          <w:bCs/>
          <w:color w:val="000000"/>
          <w:kern w:val="0"/>
          <w:sz w:val="32"/>
          <w:szCs w:val="32"/>
        </w:rPr>
      </w:pPr>
      <w:r>
        <w:rPr>
          <w:rFonts w:ascii="仿宋" w:eastAsia="仿宋" w:hAnsi="仿宋" w:cs="仿宋" w:hint="eastAsia"/>
          <w:bCs/>
          <w:color w:val="000000"/>
          <w:kern w:val="0"/>
          <w:sz w:val="32"/>
          <w:szCs w:val="32"/>
        </w:rPr>
        <w:t>填报镇区（盖章）：</w:t>
      </w:r>
    </w:p>
    <w:tbl>
      <w:tblPr>
        <w:tblW w:w="0" w:type="auto"/>
        <w:jc w:val="center"/>
        <w:tblInd w:w="0" w:type="dxa"/>
        <w:tblLayout w:type="fixed"/>
        <w:tblLook w:val="0000"/>
      </w:tblPr>
      <w:tblGrid>
        <w:gridCol w:w="1023"/>
        <w:gridCol w:w="997"/>
        <w:gridCol w:w="996"/>
        <w:gridCol w:w="992"/>
        <w:gridCol w:w="992"/>
        <w:gridCol w:w="1134"/>
        <w:gridCol w:w="1276"/>
        <w:gridCol w:w="1134"/>
        <w:gridCol w:w="1418"/>
        <w:gridCol w:w="1701"/>
        <w:gridCol w:w="1842"/>
        <w:gridCol w:w="1381"/>
      </w:tblGrid>
      <w:tr w:rsidR="00000000">
        <w:trPr>
          <w:trHeight w:val="549"/>
          <w:jc w:val="center"/>
        </w:trPr>
        <w:tc>
          <w:tcPr>
            <w:tcW w:w="3016" w:type="dxa"/>
            <w:gridSpan w:val="3"/>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 w:val="32"/>
                <w:szCs w:val="32"/>
              </w:rPr>
            </w:pPr>
            <w:r>
              <w:rPr>
                <w:rFonts w:ascii="仿宋" w:eastAsia="仿宋" w:hAnsi="仿宋" w:cs="仿宋" w:hint="eastAsia"/>
                <w:kern w:val="0"/>
                <w:sz w:val="32"/>
                <w:szCs w:val="32"/>
              </w:rPr>
              <w:t>生产情况</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 w:val="32"/>
                <w:szCs w:val="32"/>
              </w:rPr>
            </w:pPr>
            <w:r>
              <w:rPr>
                <w:rFonts w:ascii="仿宋" w:eastAsia="仿宋" w:hAnsi="仿宋" w:cs="仿宋" w:hint="eastAsia"/>
                <w:kern w:val="0"/>
                <w:sz w:val="32"/>
                <w:szCs w:val="32"/>
              </w:rPr>
              <w:t>销售情况</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00000" w:rsidRDefault="00866A41">
            <w:pPr>
              <w:spacing w:line="600" w:lineRule="exact"/>
              <w:jc w:val="center"/>
              <w:rPr>
                <w:rFonts w:ascii="仿宋" w:eastAsia="仿宋" w:hAnsi="仿宋" w:cs="仿宋" w:hint="eastAsia"/>
                <w:kern w:val="0"/>
                <w:sz w:val="32"/>
                <w:szCs w:val="32"/>
              </w:rPr>
            </w:pPr>
            <w:r>
              <w:rPr>
                <w:rFonts w:ascii="仿宋" w:eastAsia="仿宋" w:hAnsi="仿宋" w:cs="仿宋" w:hint="eastAsia"/>
                <w:kern w:val="0"/>
                <w:sz w:val="32"/>
                <w:szCs w:val="32"/>
              </w:rPr>
              <w:t>维修情况</w:t>
            </w:r>
          </w:p>
        </w:tc>
        <w:tc>
          <w:tcPr>
            <w:tcW w:w="4924" w:type="dxa"/>
            <w:gridSpan w:val="3"/>
            <w:tcBorders>
              <w:top w:val="single" w:sz="4" w:space="0" w:color="auto"/>
              <w:left w:val="single" w:sz="4" w:space="0" w:color="auto"/>
              <w:bottom w:val="single" w:sz="4" w:space="0" w:color="auto"/>
              <w:right w:val="single" w:sz="4" w:space="0" w:color="auto"/>
            </w:tcBorders>
            <w:vAlign w:val="center"/>
          </w:tcPr>
          <w:p w:rsidR="00000000" w:rsidRDefault="00866A41">
            <w:pPr>
              <w:spacing w:line="600" w:lineRule="exact"/>
              <w:jc w:val="center"/>
              <w:rPr>
                <w:rFonts w:ascii="仿宋" w:eastAsia="仿宋" w:hAnsi="仿宋" w:cs="仿宋" w:hint="eastAsia"/>
                <w:kern w:val="0"/>
                <w:sz w:val="32"/>
                <w:szCs w:val="32"/>
              </w:rPr>
            </w:pPr>
            <w:r>
              <w:rPr>
                <w:rFonts w:ascii="仿宋" w:eastAsia="仿宋" w:hAnsi="仿宋" w:cs="仿宋" w:hint="eastAsia"/>
                <w:kern w:val="0"/>
                <w:sz w:val="32"/>
                <w:szCs w:val="32"/>
              </w:rPr>
              <w:t>使用情况</w:t>
            </w:r>
          </w:p>
        </w:tc>
      </w:tr>
      <w:tr w:rsidR="00000000">
        <w:trPr>
          <w:trHeight w:val="2265"/>
          <w:jc w:val="center"/>
        </w:trPr>
        <w:tc>
          <w:tcPr>
            <w:tcW w:w="1023"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电动自行车生产企业数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997"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蓄电池生产企业数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996"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充电器生产企业数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电动自行车销售单位数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蓄电池单独销售单位数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充电器单独销售单位</w:t>
            </w:r>
            <w:r>
              <w:rPr>
                <w:rFonts w:ascii="仿宋" w:eastAsia="仿宋" w:hAnsi="仿宋" w:cs="仿宋" w:hint="eastAsia"/>
                <w:kern w:val="0"/>
                <w:szCs w:val="21"/>
              </w:rPr>
              <w:t>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同时销售车、电池或充电器的销售单位数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电动自行车维修点</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1418"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兼营销售电动自行车或配件的维修点数</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（家）</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存在在居民楼内共用走道、楼梯间、安全出口等公共区域违规停放、充电现象的建筑</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（栋）</w:t>
            </w:r>
          </w:p>
        </w:tc>
        <w:tc>
          <w:tcPr>
            <w:tcW w:w="1842"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存在在人员密集场所、“群租房”、“三合一”等有人员经常活动的空间内停放或充电的场所</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（处）</w:t>
            </w:r>
          </w:p>
        </w:tc>
        <w:tc>
          <w:tcPr>
            <w:tcW w:w="1381"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存在在小区公共车库停放或充电的场所</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（处）</w:t>
            </w:r>
          </w:p>
        </w:tc>
      </w:tr>
      <w:tr w:rsidR="00000000">
        <w:trPr>
          <w:trHeight w:val="1819"/>
          <w:jc w:val="center"/>
        </w:trPr>
        <w:tc>
          <w:tcPr>
            <w:tcW w:w="1023"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spacing w:line="200" w:lineRule="exact"/>
              <w:jc w:val="center"/>
              <w:rPr>
                <w:rFonts w:ascii="仿宋" w:eastAsia="仿宋" w:hAnsi="仿宋" w:cs="仿宋" w:hint="eastAsia"/>
                <w:kern w:val="0"/>
                <w:sz w:val="32"/>
                <w:szCs w:val="32"/>
              </w:rPr>
            </w:pPr>
          </w:p>
        </w:tc>
        <w:tc>
          <w:tcPr>
            <w:tcW w:w="997"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96"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184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1381"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r>
    </w:tbl>
    <w:p w:rsidR="00000000" w:rsidRDefault="00866A41">
      <w:pPr>
        <w:snapToGrid w:val="0"/>
        <w:spacing w:line="320" w:lineRule="exact"/>
        <w:rPr>
          <w:rFonts w:ascii="仿宋" w:eastAsia="仿宋" w:hAnsi="仿宋" w:cs="仿宋" w:hint="eastAsia"/>
          <w:sz w:val="32"/>
          <w:szCs w:val="32"/>
        </w:rPr>
      </w:pPr>
    </w:p>
    <w:p w:rsidR="00000000" w:rsidRDefault="00866A41">
      <w:pPr>
        <w:snapToGrid w:val="0"/>
        <w:spacing w:line="320" w:lineRule="exact"/>
        <w:rPr>
          <w:rFonts w:ascii="仿宋" w:eastAsia="仿宋" w:hAnsi="仿宋" w:cs="仿宋" w:hint="eastAsia"/>
          <w:sz w:val="32"/>
          <w:szCs w:val="32"/>
        </w:rPr>
      </w:pPr>
      <w:r>
        <w:rPr>
          <w:rFonts w:ascii="仿宋" w:eastAsia="仿宋" w:hAnsi="仿宋" w:cs="仿宋" w:hint="eastAsia"/>
          <w:sz w:val="32"/>
          <w:szCs w:val="32"/>
        </w:rPr>
        <w:t>填报人：</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000000" w:rsidRDefault="00866A41">
      <w:pPr>
        <w:snapToGrid w:val="0"/>
        <w:spacing w:line="500" w:lineRule="exact"/>
        <w:jc w:val="center"/>
        <w:rPr>
          <w:rFonts w:ascii="仿宋" w:eastAsia="仿宋" w:hAnsi="仿宋" w:cs="仿宋" w:hint="eastAsia"/>
          <w:sz w:val="32"/>
          <w:szCs w:val="32"/>
        </w:rPr>
      </w:pPr>
    </w:p>
    <w:p w:rsidR="00000000" w:rsidRDefault="00866A41">
      <w:pPr>
        <w:snapToGrid w:val="0"/>
        <w:spacing w:line="500" w:lineRule="exact"/>
        <w:jc w:val="center"/>
        <w:rPr>
          <w:rFonts w:ascii="仿宋" w:eastAsia="仿宋" w:hAnsi="仿宋" w:cs="仿宋" w:hint="eastAsia"/>
          <w:sz w:val="32"/>
          <w:szCs w:val="32"/>
        </w:rPr>
      </w:pPr>
    </w:p>
    <w:tbl>
      <w:tblPr>
        <w:tblW w:w="0" w:type="auto"/>
        <w:jc w:val="center"/>
        <w:tblInd w:w="0" w:type="dxa"/>
        <w:tblLayout w:type="fixed"/>
        <w:tblLook w:val="0000"/>
      </w:tblPr>
      <w:tblGrid>
        <w:gridCol w:w="889"/>
        <w:gridCol w:w="992"/>
        <w:gridCol w:w="851"/>
        <w:gridCol w:w="992"/>
        <w:gridCol w:w="851"/>
        <w:gridCol w:w="850"/>
        <w:gridCol w:w="992"/>
        <w:gridCol w:w="993"/>
        <w:gridCol w:w="850"/>
        <w:gridCol w:w="826"/>
        <w:gridCol w:w="875"/>
        <w:gridCol w:w="702"/>
        <w:gridCol w:w="716"/>
        <w:gridCol w:w="992"/>
        <w:gridCol w:w="992"/>
        <w:gridCol w:w="1134"/>
        <w:gridCol w:w="954"/>
      </w:tblGrid>
      <w:tr w:rsidR="00000000">
        <w:trPr>
          <w:trHeight w:val="630"/>
          <w:jc w:val="center"/>
        </w:trPr>
        <w:tc>
          <w:tcPr>
            <w:tcW w:w="15451" w:type="dxa"/>
            <w:gridSpan w:val="17"/>
            <w:tcBorders>
              <w:top w:val="nil"/>
              <w:left w:val="nil"/>
              <w:bottom w:val="nil"/>
              <w:right w:val="nil"/>
            </w:tcBorders>
            <w:vAlign w:val="center"/>
          </w:tcPr>
          <w:p w:rsidR="00000000" w:rsidRDefault="00866A41">
            <w:pPr>
              <w:widowControl/>
              <w:adjustRightInd w:val="0"/>
              <w:snapToGrid w:val="0"/>
              <w:spacing w:line="590" w:lineRule="exact"/>
              <w:ind w:firstLineChars="400" w:firstLine="1280"/>
              <w:rPr>
                <w:rFonts w:ascii="仿宋" w:eastAsia="仿宋" w:hAnsi="仿宋" w:cs="仿宋" w:hint="eastAsia"/>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6</w:t>
            </w:r>
          </w:p>
          <w:p w:rsidR="00000000" w:rsidRDefault="00866A41">
            <w:pPr>
              <w:widowControl/>
              <w:jc w:val="center"/>
              <w:rPr>
                <w:rFonts w:ascii="仿宋" w:eastAsia="仿宋" w:hAnsi="仿宋" w:cs="仿宋" w:hint="eastAsia"/>
                <w:bCs/>
                <w:kern w:val="0"/>
                <w:sz w:val="32"/>
                <w:szCs w:val="32"/>
              </w:rPr>
            </w:pPr>
            <w:r>
              <w:rPr>
                <w:rFonts w:ascii="黑体" w:eastAsia="黑体" w:hAnsi="黑体" w:cs="黑体" w:hint="eastAsia"/>
                <w:bCs/>
                <w:kern w:val="0"/>
                <w:sz w:val="44"/>
                <w:szCs w:val="44"/>
              </w:rPr>
              <w:t>电动自行车消防安全综合治理工作统计表（月报）</w:t>
            </w:r>
          </w:p>
        </w:tc>
      </w:tr>
      <w:tr w:rsidR="00000000">
        <w:trPr>
          <w:trHeight w:val="360"/>
          <w:jc w:val="center"/>
        </w:trPr>
        <w:tc>
          <w:tcPr>
            <w:tcW w:w="15451" w:type="dxa"/>
            <w:gridSpan w:val="17"/>
            <w:tcBorders>
              <w:top w:val="nil"/>
              <w:left w:val="nil"/>
              <w:bottom w:val="nil"/>
              <w:right w:val="nil"/>
            </w:tcBorders>
            <w:vAlign w:val="center"/>
          </w:tcPr>
          <w:p w:rsidR="00000000" w:rsidRDefault="00866A41">
            <w:pPr>
              <w:widowControl/>
              <w:spacing w:line="400" w:lineRule="exact"/>
              <w:jc w:val="center"/>
              <w:rPr>
                <w:rFonts w:ascii="仿宋" w:eastAsia="仿宋" w:hAnsi="仿宋" w:cs="仿宋" w:hint="eastAsia"/>
                <w:kern w:val="0"/>
                <w:sz w:val="32"/>
                <w:szCs w:val="32"/>
              </w:rPr>
            </w:pPr>
          </w:p>
        </w:tc>
      </w:tr>
      <w:tr w:rsidR="00000000">
        <w:trPr>
          <w:trHeight w:val="196"/>
          <w:jc w:val="center"/>
        </w:trPr>
        <w:tc>
          <w:tcPr>
            <w:tcW w:w="15451" w:type="dxa"/>
            <w:gridSpan w:val="17"/>
            <w:tcBorders>
              <w:top w:val="nil"/>
              <w:left w:val="nil"/>
              <w:bottom w:val="single" w:sz="4" w:space="0" w:color="auto"/>
              <w:right w:val="nil"/>
            </w:tcBorders>
            <w:vAlign w:val="center"/>
          </w:tcPr>
          <w:p w:rsidR="00000000" w:rsidRDefault="00866A41">
            <w:pPr>
              <w:widowControl/>
              <w:jc w:val="left"/>
              <w:rPr>
                <w:rFonts w:ascii="仿宋" w:eastAsia="仿宋" w:hAnsi="仿宋" w:cs="仿宋" w:hint="eastAsia"/>
                <w:kern w:val="0"/>
                <w:sz w:val="32"/>
                <w:szCs w:val="32"/>
              </w:rPr>
            </w:pPr>
            <w:r>
              <w:rPr>
                <w:rFonts w:ascii="仿宋" w:eastAsia="仿宋" w:hAnsi="仿宋" w:cs="仿宋" w:hint="eastAsia"/>
                <w:bCs/>
                <w:kern w:val="0"/>
                <w:sz w:val="32"/>
                <w:szCs w:val="32"/>
              </w:rPr>
              <w:t>填报镇区</w:t>
            </w:r>
            <w:r>
              <w:rPr>
                <w:rFonts w:ascii="仿宋" w:eastAsia="仿宋" w:hAnsi="仿宋" w:cs="仿宋" w:hint="eastAsia"/>
                <w:bCs/>
                <w:kern w:val="0"/>
                <w:sz w:val="32"/>
                <w:szCs w:val="32"/>
              </w:rPr>
              <w:t>/</w:t>
            </w:r>
            <w:r>
              <w:rPr>
                <w:rFonts w:ascii="仿宋" w:eastAsia="仿宋" w:hAnsi="仿宋" w:cs="仿宋" w:hint="eastAsia"/>
                <w:bCs/>
                <w:kern w:val="0"/>
                <w:sz w:val="32"/>
                <w:szCs w:val="32"/>
              </w:rPr>
              <w:t>部门（盖章）：</w:t>
            </w:r>
            <w:r>
              <w:rPr>
                <w:rFonts w:ascii="仿宋" w:eastAsia="仿宋" w:hAnsi="仿宋" w:cs="仿宋" w:hint="eastAsia"/>
                <w:bCs/>
                <w:kern w:val="0"/>
                <w:sz w:val="32"/>
                <w:szCs w:val="32"/>
              </w:rPr>
              <w:t xml:space="preserve"> </w:t>
            </w:r>
          </w:p>
        </w:tc>
      </w:tr>
      <w:tr w:rsidR="00000000">
        <w:trPr>
          <w:trHeight w:val="619"/>
          <w:jc w:val="center"/>
        </w:trPr>
        <w:tc>
          <w:tcPr>
            <w:tcW w:w="2732" w:type="dxa"/>
            <w:gridSpan w:val="3"/>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生产企业整治情况</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销售单位整治情况</w:t>
            </w:r>
          </w:p>
        </w:tc>
        <w:tc>
          <w:tcPr>
            <w:tcW w:w="3661" w:type="dxa"/>
            <w:gridSpan w:val="4"/>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智能集中充电系统建设情况</w:t>
            </w:r>
          </w:p>
        </w:tc>
        <w:tc>
          <w:tcPr>
            <w:tcW w:w="6365" w:type="dxa"/>
            <w:gridSpan w:val="7"/>
            <w:tcBorders>
              <w:top w:val="single" w:sz="4" w:space="0" w:color="auto"/>
              <w:left w:val="single" w:sz="4" w:space="0" w:color="auto"/>
              <w:bottom w:val="single" w:sz="4" w:space="0" w:color="auto"/>
              <w:right w:val="single" w:sz="4" w:space="0" w:color="auto"/>
            </w:tcBorders>
            <w:vAlign w:val="center"/>
          </w:tcPr>
          <w:p w:rsidR="00000000" w:rsidRDefault="00866A41">
            <w:pPr>
              <w:widowControl/>
              <w:spacing w:line="200" w:lineRule="exact"/>
              <w:jc w:val="center"/>
              <w:rPr>
                <w:rFonts w:ascii="仿宋" w:eastAsia="仿宋" w:hAnsi="仿宋" w:cs="仿宋" w:hint="eastAsia"/>
                <w:kern w:val="0"/>
                <w:szCs w:val="21"/>
              </w:rPr>
            </w:pPr>
            <w:r>
              <w:rPr>
                <w:rFonts w:ascii="仿宋" w:eastAsia="仿宋" w:hAnsi="仿宋" w:cs="仿宋" w:hint="eastAsia"/>
                <w:kern w:val="0"/>
                <w:szCs w:val="21"/>
              </w:rPr>
              <w:t>电动自行车消防安全综合治理成效</w:t>
            </w:r>
          </w:p>
        </w:tc>
      </w:tr>
      <w:tr w:rsidR="00000000">
        <w:trPr>
          <w:trHeight w:val="2655"/>
          <w:jc w:val="center"/>
        </w:trPr>
        <w:tc>
          <w:tcPr>
            <w:tcW w:w="889"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Cs w:val="21"/>
              </w:rPr>
            </w:pPr>
            <w:r>
              <w:rPr>
                <w:rFonts w:ascii="仿宋" w:eastAsia="仿宋" w:hAnsi="仿宋" w:cs="仿宋" w:hint="eastAsia"/>
                <w:kern w:val="0"/>
                <w:szCs w:val="21"/>
              </w:rPr>
              <w:t>检查电动车生产企业累计数</w:t>
            </w:r>
          </w:p>
          <w:p w:rsidR="00000000" w:rsidRDefault="00866A41">
            <w:pPr>
              <w:widowControl/>
              <w:jc w:val="center"/>
              <w:rPr>
                <w:rFonts w:ascii="仿宋" w:eastAsia="仿宋" w:hAnsi="仿宋" w:cs="仿宋" w:hint="eastAsia"/>
                <w:kern w:val="0"/>
                <w:szCs w:val="21"/>
              </w:rPr>
            </w:pPr>
            <w:r>
              <w:rPr>
                <w:rFonts w:ascii="仿宋" w:eastAsia="仿宋" w:hAnsi="仿宋" w:cs="仿宋" w:hint="eastAsia"/>
                <w:kern w:val="0"/>
                <w:szCs w:val="21"/>
              </w:rPr>
              <w:t>（家）</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Cs w:val="21"/>
              </w:rPr>
            </w:pPr>
            <w:r>
              <w:rPr>
                <w:rFonts w:ascii="仿宋" w:eastAsia="仿宋" w:hAnsi="仿宋" w:cs="仿宋" w:hint="eastAsia"/>
                <w:kern w:val="0"/>
                <w:szCs w:val="21"/>
              </w:rPr>
              <w:t>检查蓄电池生产企业累计数</w:t>
            </w:r>
          </w:p>
          <w:p w:rsidR="00000000" w:rsidRDefault="00866A41">
            <w:pPr>
              <w:widowControl/>
              <w:jc w:val="center"/>
              <w:rPr>
                <w:rFonts w:ascii="仿宋" w:eastAsia="仿宋" w:hAnsi="仿宋" w:cs="仿宋" w:hint="eastAsia"/>
                <w:kern w:val="0"/>
                <w:szCs w:val="21"/>
              </w:rPr>
            </w:pPr>
            <w:r>
              <w:rPr>
                <w:rFonts w:ascii="仿宋" w:eastAsia="仿宋" w:hAnsi="仿宋" w:cs="仿宋" w:hint="eastAsia"/>
                <w:kern w:val="0"/>
                <w:szCs w:val="21"/>
              </w:rPr>
              <w:t>（家）</w:t>
            </w: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检查充电器生产企业累计数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检查电动车销售单位累计数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检查蓄电池销售单位累计数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检查充电器销售单位累计数</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（家）</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现有集中充电系统</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tcPr>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现有充电系统建设面</w:t>
            </w:r>
            <w:r>
              <w:rPr>
                <w:rFonts w:ascii="仿宋" w:eastAsia="仿宋" w:hAnsi="仿宋" w:cs="仿宋" w:hint="eastAsia"/>
                <w:kern w:val="0"/>
                <w:szCs w:val="21"/>
              </w:rPr>
              <w:t>积</w:t>
            </w:r>
          </w:p>
          <w:p w:rsidR="00000000" w:rsidRDefault="00866A41">
            <w:pPr>
              <w:jc w:val="center"/>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hint="eastAsia"/>
                <w:kern w:val="0"/>
                <w:szCs w:val="21"/>
              </w:rPr>
              <w:t>m</w:t>
            </w:r>
            <w:r>
              <w:rPr>
                <w:rFonts w:ascii="仿宋" w:eastAsia="仿宋" w:hAnsi="仿宋" w:cs="仿宋" w:hint="eastAsia"/>
                <w:kern w:val="0"/>
                <w:szCs w:val="21"/>
                <w:vertAlign w:val="superscript"/>
              </w:rPr>
              <w:t>2</w:t>
            </w:r>
            <w:r>
              <w:rPr>
                <w:rFonts w:ascii="仿宋" w:eastAsia="仿宋" w:hAnsi="仿宋" w:cs="仿宋"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本月新增集中充电系统</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（套）</w:t>
            </w:r>
          </w:p>
        </w:tc>
        <w:tc>
          <w:tcPr>
            <w:tcW w:w="826"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本月新增充电系统建设面积</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hint="eastAsia"/>
                <w:kern w:val="0"/>
                <w:szCs w:val="21"/>
              </w:rPr>
              <w:t>m</w:t>
            </w:r>
            <w:r>
              <w:rPr>
                <w:rFonts w:ascii="仿宋" w:eastAsia="仿宋" w:hAnsi="仿宋" w:cs="仿宋" w:hint="eastAsia"/>
                <w:kern w:val="0"/>
                <w:szCs w:val="21"/>
                <w:vertAlign w:val="superscript"/>
              </w:rPr>
              <w:t>2</w:t>
            </w:r>
            <w:r>
              <w:rPr>
                <w:rFonts w:ascii="仿宋" w:eastAsia="仿宋" w:hAnsi="仿宋" w:cs="仿宋" w:hint="eastAsia"/>
                <w:kern w:val="0"/>
                <w:szCs w:val="21"/>
              </w:rPr>
              <w:t>）</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打击非法生产行为数</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（起）</w:t>
            </w:r>
          </w:p>
        </w:tc>
        <w:tc>
          <w:tcPr>
            <w:tcW w:w="702"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打击非法销售行为数</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（起）</w:t>
            </w:r>
          </w:p>
        </w:tc>
        <w:tc>
          <w:tcPr>
            <w:tcW w:w="716"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打击私自改装行为数</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（起）</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打击违规停放、充电行为数</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（起）</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淘汰不符合国家标准的电动自行车数</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（辆）</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要求建设单位严格按照《技术要点》进行规划配建数</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（次）</w:t>
            </w:r>
          </w:p>
        </w:tc>
        <w:tc>
          <w:tcPr>
            <w:tcW w:w="954" w:type="dxa"/>
            <w:tcBorders>
              <w:top w:val="single" w:sz="4" w:space="0" w:color="auto"/>
              <w:left w:val="single" w:sz="4" w:space="0" w:color="auto"/>
              <w:bottom w:val="single" w:sz="4" w:space="0" w:color="auto"/>
              <w:right w:val="single" w:sz="4" w:space="0" w:color="auto"/>
            </w:tcBorders>
            <w:vAlign w:val="center"/>
          </w:tcPr>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指导、督促物业服务企业开展相关工作</w:t>
            </w:r>
          </w:p>
          <w:p w:rsidR="00000000" w:rsidRDefault="00866A41">
            <w:pPr>
              <w:spacing w:line="200" w:lineRule="exact"/>
              <w:jc w:val="center"/>
              <w:rPr>
                <w:rFonts w:ascii="仿宋" w:eastAsia="仿宋" w:hAnsi="仿宋" w:cs="仿宋" w:hint="eastAsia"/>
                <w:kern w:val="0"/>
                <w:szCs w:val="21"/>
              </w:rPr>
            </w:pPr>
            <w:r>
              <w:rPr>
                <w:rFonts w:ascii="仿宋" w:eastAsia="仿宋" w:hAnsi="仿宋" w:cs="仿宋" w:hint="eastAsia"/>
                <w:kern w:val="0"/>
                <w:szCs w:val="21"/>
              </w:rPr>
              <w:t>（次）</w:t>
            </w:r>
          </w:p>
        </w:tc>
      </w:tr>
      <w:tr w:rsidR="00000000">
        <w:trPr>
          <w:trHeight w:val="967"/>
          <w:jc w:val="center"/>
        </w:trPr>
        <w:tc>
          <w:tcPr>
            <w:tcW w:w="889"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spacing w:line="200" w:lineRule="exact"/>
              <w:jc w:val="center"/>
              <w:rPr>
                <w:rFonts w:ascii="仿宋" w:eastAsia="仿宋" w:hAnsi="仿宋" w:cs="仿宋" w:hint="eastAsia"/>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826"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70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716"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c>
          <w:tcPr>
            <w:tcW w:w="954" w:type="dxa"/>
            <w:tcBorders>
              <w:top w:val="single" w:sz="4" w:space="0" w:color="auto"/>
              <w:left w:val="single" w:sz="4" w:space="0" w:color="auto"/>
              <w:bottom w:val="single" w:sz="4" w:space="0" w:color="auto"/>
              <w:right w:val="single" w:sz="4" w:space="0" w:color="auto"/>
            </w:tcBorders>
            <w:vAlign w:val="center"/>
          </w:tcPr>
          <w:p w:rsidR="00000000" w:rsidRDefault="00866A41">
            <w:pPr>
              <w:widowControl/>
              <w:jc w:val="center"/>
              <w:rPr>
                <w:rFonts w:ascii="仿宋" w:eastAsia="仿宋" w:hAnsi="仿宋" w:cs="仿宋" w:hint="eastAsia"/>
                <w:kern w:val="0"/>
                <w:sz w:val="32"/>
                <w:szCs w:val="32"/>
              </w:rPr>
            </w:pPr>
          </w:p>
        </w:tc>
      </w:tr>
    </w:tbl>
    <w:p w:rsidR="00000000" w:rsidRDefault="00866A41">
      <w:pPr>
        <w:snapToGrid w:val="0"/>
        <w:spacing w:line="320" w:lineRule="exact"/>
        <w:rPr>
          <w:rFonts w:ascii="仿宋" w:eastAsia="仿宋" w:hAnsi="仿宋" w:cs="仿宋" w:hint="eastAsia"/>
          <w:sz w:val="32"/>
          <w:szCs w:val="32"/>
        </w:rPr>
      </w:pPr>
    </w:p>
    <w:p w:rsidR="00000000" w:rsidRDefault="00866A41">
      <w:pPr>
        <w:snapToGrid w:val="0"/>
        <w:spacing w:line="320" w:lineRule="exact"/>
        <w:rPr>
          <w:rFonts w:ascii="仿宋" w:eastAsia="仿宋" w:hAnsi="仿宋" w:cs="仿宋" w:hint="eastAsia"/>
          <w:sz w:val="32"/>
          <w:szCs w:val="32"/>
        </w:rPr>
        <w:sectPr w:rsidR="00000000">
          <w:pgSz w:w="16838" w:h="11906" w:orient="landscape"/>
          <w:pgMar w:top="1588" w:right="2098" w:bottom="1474" w:left="1985" w:header="714" w:footer="1531" w:gutter="0"/>
          <w:cols w:space="720"/>
          <w:docGrid w:type="linesAndChars" w:linePitch="312"/>
        </w:sectPr>
      </w:pPr>
      <w:r>
        <w:rPr>
          <w:rFonts w:ascii="仿宋" w:eastAsia="仿宋" w:hAnsi="仿宋" w:cs="仿宋" w:hint="eastAsia"/>
          <w:sz w:val="32"/>
          <w:szCs w:val="32"/>
        </w:rPr>
        <w:t>填报人：</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p>
    <w:p w:rsidR="00866A41" w:rsidRDefault="00866A41">
      <w:pPr>
        <w:spacing w:line="520" w:lineRule="exact"/>
        <w:ind w:right="640"/>
        <w:rPr>
          <w:rFonts w:ascii="仿宋" w:eastAsia="仿宋" w:hAnsi="仿宋" w:cs="仿宋" w:hint="eastAsia"/>
          <w:sz w:val="32"/>
          <w:szCs w:val="32"/>
        </w:rPr>
      </w:pPr>
    </w:p>
    <w:sectPr w:rsidR="00866A41">
      <w:pgSz w:w="11906" w:h="16838"/>
      <w:pgMar w:top="2098" w:right="1474" w:bottom="1985" w:left="1588" w:header="714"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A41" w:rsidRDefault="00866A41">
      <w:r>
        <w:separator/>
      </w:r>
    </w:p>
  </w:endnote>
  <w:endnote w:type="continuationSeparator" w:id="1">
    <w:p w:rsidR="00866A41" w:rsidRDefault="00866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6A41">
    <w:pPr>
      <w:pStyle w:val="a6"/>
      <w:framePr w:wrap="around" w:vAnchor="text" w:hAnchor="margin" w:xAlign="outside" w:y="1"/>
      <w:rPr>
        <w:rStyle w:val="a3"/>
      </w:rPr>
    </w:pPr>
    <w:r>
      <w:fldChar w:fldCharType="begin"/>
    </w:r>
    <w:r>
      <w:rPr>
        <w:rStyle w:val="a3"/>
      </w:rPr>
      <w:instrText xml:space="preserve">PAGE  </w:instrText>
    </w:r>
    <w:r>
      <w:fldChar w:fldCharType="end"/>
    </w:r>
  </w:p>
  <w:p w:rsidR="00000000" w:rsidRDefault="00866A4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6A41">
    <w:pPr>
      <w:pStyle w:val="a6"/>
      <w:framePr w:wrap="around" w:vAnchor="text" w:hAnchor="margin" w:xAlign="outside" w:y="1"/>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rFonts w:hint="eastAsia"/>
        <w:sz w:val="28"/>
        <w:szCs w:val="28"/>
      </w:rPr>
      <w:t xml:space="preserve"> </w:t>
    </w:r>
    <w:r>
      <w:rPr>
        <w:rStyle w:val="a3"/>
        <w:rFonts w:hint="eastAsia"/>
        <w:sz w:val="28"/>
        <w:szCs w:val="28"/>
      </w:rPr>
      <w:t>—</w:t>
    </w:r>
  </w:p>
  <w:p w:rsidR="00000000" w:rsidRDefault="00866A41">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A41" w:rsidRDefault="00866A41">
      <w:r>
        <w:separator/>
      </w:r>
    </w:p>
  </w:footnote>
  <w:footnote w:type="continuationSeparator" w:id="1">
    <w:p w:rsidR="00866A41" w:rsidRDefault="00866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6A41">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BD5"/>
    <w:rsid w:val="0002488F"/>
    <w:rsid w:val="000268E2"/>
    <w:rsid w:val="00041BB6"/>
    <w:rsid w:val="00042234"/>
    <w:rsid w:val="0005007B"/>
    <w:rsid w:val="000526BE"/>
    <w:rsid w:val="000574C6"/>
    <w:rsid w:val="000749DB"/>
    <w:rsid w:val="00083070"/>
    <w:rsid w:val="0008451A"/>
    <w:rsid w:val="0009388C"/>
    <w:rsid w:val="00095520"/>
    <w:rsid w:val="000A0DFB"/>
    <w:rsid w:val="000A47DC"/>
    <w:rsid w:val="000D3B40"/>
    <w:rsid w:val="000D5AEC"/>
    <w:rsid w:val="000E61A4"/>
    <w:rsid w:val="000E6FA8"/>
    <w:rsid w:val="00114069"/>
    <w:rsid w:val="00114A66"/>
    <w:rsid w:val="00135FF5"/>
    <w:rsid w:val="00136E60"/>
    <w:rsid w:val="00150551"/>
    <w:rsid w:val="001605D2"/>
    <w:rsid w:val="00172898"/>
    <w:rsid w:val="001807A8"/>
    <w:rsid w:val="001A1813"/>
    <w:rsid w:val="001A555D"/>
    <w:rsid w:val="001A6BCF"/>
    <w:rsid w:val="001B58EE"/>
    <w:rsid w:val="001C75A0"/>
    <w:rsid w:val="001D1B48"/>
    <w:rsid w:val="001E1E5C"/>
    <w:rsid w:val="001F0A71"/>
    <w:rsid w:val="001F3952"/>
    <w:rsid w:val="00200CBC"/>
    <w:rsid w:val="00205B94"/>
    <w:rsid w:val="0020655B"/>
    <w:rsid w:val="00213BBC"/>
    <w:rsid w:val="00213D21"/>
    <w:rsid w:val="0023246C"/>
    <w:rsid w:val="00233BD5"/>
    <w:rsid w:val="00240C0B"/>
    <w:rsid w:val="002414FA"/>
    <w:rsid w:val="0024766B"/>
    <w:rsid w:val="002541EF"/>
    <w:rsid w:val="00261BA9"/>
    <w:rsid w:val="00264B4D"/>
    <w:rsid w:val="002663F7"/>
    <w:rsid w:val="002764FC"/>
    <w:rsid w:val="002875E6"/>
    <w:rsid w:val="002925E0"/>
    <w:rsid w:val="002A0A93"/>
    <w:rsid w:val="002A3B5D"/>
    <w:rsid w:val="002A65A9"/>
    <w:rsid w:val="002B4D88"/>
    <w:rsid w:val="002C142A"/>
    <w:rsid w:val="002C19AA"/>
    <w:rsid w:val="002C1F7F"/>
    <w:rsid w:val="002C7B79"/>
    <w:rsid w:val="002E137C"/>
    <w:rsid w:val="002F4F2A"/>
    <w:rsid w:val="0030665F"/>
    <w:rsid w:val="00310362"/>
    <w:rsid w:val="0031451D"/>
    <w:rsid w:val="00320AB1"/>
    <w:rsid w:val="00330760"/>
    <w:rsid w:val="00331052"/>
    <w:rsid w:val="00331DBB"/>
    <w:rsid w:val="00340A4D"/>
    <w:rsid w:val="00340CDC"/>
    <w:rsid w:val="003417B9"/>
    <w:rsid w:val="00381E17"/>
    <w:rsid w:val="0038399A"/>
    <w:rsid w:val="003A0082"/>
    <w:rsid w:val="003B1526"/>
    <w:rsid w:val="003C075F"/>
    <w:rsid w:val="003C43E7"/>
    <w:rsid w:val="003D37E8"/>
    <w:rsid w:val="003D78E1"/>
    <w:rsid w:val="003F0B77"/>
    <w:rsid w:val="003F2504"/>
    <w:rsid w:val="00401A89"/>
    <w:rsid w:val="00420800"/>
    <w:rsid w:val="00436545"/>
    <w:rsid w:val="00446D57"/>
    <w:rsid w:val="00456112"/>
    <w:rsid w:val="0045619B"/>
    <w:rsid w:val="00460657"/>
    <w:rsid w:val="00461892"/>
    <w:rsid w:val="00482907"/>
    <w:rsid w:val="0049514F"/>
    <w:rsid w:val="0049767A"/>
    <w:rsid w:val="004B7307"/>
    <w:rsid w:val="004D16FE"/>
    <w:rsid w:val="004D6729"/>
    <w:rsid w:val="004E2FB7"/>
    <w:rsid w:val="004F439E"/>
    <w:rsid w:val="00506D04"/>
    <w:rsid w:val="00511574"/>
    <w:rsid w:val="00514083"/>
    <w:rsid w:val="00520178"/>
    <w:rsid w:val="00523269"/>
    <w:rsid w:val="00523B59"/>
    <w:rsid w:val="00526EAC"/>
    <w:rsid w:val="00563BD9"/>
    <w:rsid w:val="00563EC3"/>
    <w:rsid w:val="00571AC4"/>
    <w:rsid w:val="005923AE"/>
    <w:rsid w:val="00593AB8"/>
    <w:rsid w:val="0059481B"/>
    <w:rsid w:val="0059616F"/>
    <w:rsid w:val="005A244D"/>
    <w:rsid w:val="005B099E"/>
    <w:rsid w:val="005B264F"/>
    <w:rsid w:val="005D0598"/>
    <w:rsid w:val="005D1648"/>
    <w:rsid w:val="005D6A29"/>
    <w:rsid w:val="005E4281"/>
    <w:rsid w:val="005F6782"/>
    <w:rsid w:val="00604AD4"/>
    <w:rsid w:val="00620F58"/>
    <w:rsid w:val="00655FDF"/>
    <w:rsid w:val="00673D1E"/>
    <w:rsid w:val="0068714A"/>
    <w:rsid w:val="006B639C"/>
    <w:rsid w:val="007274F6"/>
    <w:rsid w:val="00742A68"/>
    <w:rsid w:val="00745CD0"/>
    <w:rsid w:val="00754C40"/>
    <w:rsid w:val="00772F6E"/>
    <w:rsid w:val="0077699B"/>
    <w:rsid w:val="0078056D"/>
    <w:rsid w:val="007816C7"/>
    <w:rsid w:val="007917AA"/>
    <w:rsid w:val="00794128"/>
    <w:rsid w:val="00794F0A"/>
    <w:rsid w:val="00796525"/>
    <w:rsid w:val="007A3454"/>
    <w:rsid w:val="007A5E2C"/>
    <w:rsid w:val="007A7BF8"/>
    <w:rsid w:val="007C2D5F"/>
    <w:rsid w:val="007D3B00"/>
    <w:rsid w:val="007E5968"/>
    <w:rsid w:val="007E7AE8"/>
    <w:rsid w:val="00805243"/>
    <w:rsid w:val="0082418E"/>
    <w:rsid w:val="00837572"/>
    <w:rsid w:val="00845D4B"/>
    <w:rsid w:val="00857389"/>
    <w:rsid w:val="00866A41"/>
    <w:rsid w:val="008917F5"/>
    <w:rsid w:val="00892848"/>
    <w:rsid w:val="008A45A0"/>
    <w:rsid w:val="008B31B8"/>
    <w:rsid w:val="008C05DC"/>
    <w:rsid w:val="008C36B3"/>
    <w:rsid w:val="008C6F1D"/>
    <w:rsid w:val="008E2D71"/>
    <w:rsid w:val="008E647C"/>
    <w:rsid w:val="008F2392"/>
    <w:rsid w:val="00905830"/>
    <w:rsid w:val="00921424"/>
    <w:rsid w:val="0092160D"/>
    <w:rsid w:val="009252B7"/>
    <w:rsid w:val="00926CD8"/>
    <w:rsid w:val="00930BCC"/>
    <w:rsid w:val="00961F63"/>
    <w:rsid w:val="00966FF0"/>
    <w:rsid w:val="009718A5"/>
    <w:rsid w:val="0097376E"/>
    <w:rsid w:val="0099629A"/>
    <w:rsid w:val="009C1CF2"/>
    <w:rsid w:val="009C26D8"/>
    <w:rsid w:val="009C722F"/>
    <w:rsid w:val="009C7621"/>
    <w:rsid w:val="009D2E25"/>
    <w:rsid w:val="009E0DD8"/>
    <w:rsid w:val="009E3151"/>
    <w:rsid w:val="009E4C92"/>
    <w:rsid w:val="00A02129"/>
    <w:rsid w:val="00A046B5"/>
    <w:rsid w:val="00A10671"/>
    <w:rsid w:val="00A157AC"/>
    <w:rsid w:val="00A16310"/>
    <w:rsid w:val="00A21A99"/>
    <w:rsid w:val="00A54F5C"/>
    <w:rsid w:val="00A5638C"/>
    <w:rsid w:val="00A6450A"/>
    <w:rsid w:val="00A93127"/>
    <w:rsid w:val="00A9325D"/>
    <w:rsid w:val="00AA7843"/>
    <w:rsid w:val="00AB0DFA"/>
    <w:rsid w:val="00AB57DC"/>
    <w:rsid w:val="00AE5BAA"/>
    <w:rsid w:val="00AF0C49"/>
    <w:rsid w:val="00AF5B52"/>
    <w:rsid w:val="00B017E7"/>
    <w:rsid w:val="00B05976"/>
    <w:rsid w:val="00B127DF"/>
    <w:rsid w:val="00B14141"/>
    <w:rsid w:val="00B16817"/>
    <w:rsid w:val="00B253D4"/>
    <w:rsid w:val="00B27C26"/>
    <w:rsid w:val="00B35DFF"/>
    <w:rsid w:val="00B36CC9"/>
    <w:rsid w:val="00B404EE"/>
    <w:rsid w:val="00B46139"/>
    <w:rsid w:val="00B61888"/>
    <w:rsid w:val="00B72442"/>
    <w:rsid w:val="00B80C3F"/>
    <w:rsid w:val="00BA7CC5"/>
    <w:rsid w:val="00BD0E1A"/>
    <w:rsid w:val="00BD212D"/>
    <w:rsid w:val="00BD3D28"/>
    <w:rsid w:val="00BE6D4E"/>
    <w:rsid w:val="00BE705C"/>
    <w:rsid w:val="00C0457A"/>
    <w:rsid w:val="00C12C0B"/>
    <w:rsid w:val="00C13813"/>
    <w:rsid w:val="00C17119"/>
    <w:rsid w:val="00C2506A"/>
    <w:rsid w:val="00C32185"/>
    <w:rsid w:val="00C408B6"/>
    <w:rsid w:val="00C45115"/>
    <w:rsid w:val="00C5016B"/>
    <w:rsid w:val="00C56BBC"/>
    <w:rsid w:val="00C65691"/>
    <w:rsid w:val="00C663FD"/>
    <w:rsid w:val="00C66B5A"/>
    <w:rsid w:val="00C82952"/>
    <w:rsid w:val="00C84A51"/>
    <w:rsid w:val="00CA10EF"/>
    <w:rsid w:val="00CD64C7"/>
    <w:rsid w:val="00CE01E0"/>
    <w:rsid w:val="00CE56C1"/>
    <w:rsid w:val="00D10CB1"/>
    <w:rsid w:val="00D1612B"/>
    <w:rsid w:val="00D235E9"/>
    <w:rsid w:val="00D24411"/>
    <w:rsid w:val="00D33EA1"/>
    <w:rsid w:val="00D34784"/>
    <w:rsid w:val="00D41CE5"/>
    <w:rsid w:val="00D556BC"/>
    <w:rsid w:val="00D6381E"/>
    <w:rsid w:val="00D766F0"/>
    <w:rsid w:val="00D80A69"/>
    <w:rsid w:val="00D81311"/>
    <w:rsid w:val="00D81649"/>
    <w:rsid w:val="00D83B70"/>
    <w:rsid w:val="00D841BA"/>
    <w:rsid w:val="00DA11E4"/>
    <w:rsid w:val="00DB1CA4"/>
    <w:rsid w:val="00DB264B"/>
    <w:rsid w:val="00DC3EEB"/>
    <w:rsid w:val="00DE085C"/>
    <w:rsid w:val="00DE336C"/>
    <w:rsid w:val="00DF2209"/>
    <w:rsid w:val="00DF650B"/>
    <w:rsid w:val="00E109CA"/>
    <w:rsid w:val="00E13F84"/>
    <w:rsid w:val="00E153FE"/>
    <w:rsid w:val="00E40B9E"/>
    <w:rsid w:val="00E637F5"/>
    <w:rsid w:val="00E7495A"/>
    <w:rsid w:val="00E833B3"/>
    <w:rsid w:val="00E915BB"/>
    <w:rsid w:val="00E92FE0"/>
    <w:rsid w:val="00E96DA9"/>
    <w:rsid w:val="00EB42C5"/>
    <w:rsid w:val="00ED7919"/>
    <w:rsid w:val="00EE5020"/>
    <w:rsid w:val="00EE586A"/>
    <w:rsid w:val="00EF30B4"/>
    <w:rsid w:val="00EF66B4"/>
    <w:rsid w:val="00F02972"/>
    <w:rsid w:val="00F04877"/>
    <w:rsid w:val="00F338B9"/>
    <w:rsid w:val="00F3490D"/>
    <w:rsid w:val="00F40C3C"/>
    <w:rsid w:val="00F4662D"/>
    <w:rsid w:val="00F636CD"/>
    <w:rsid w:val="00F75552"/>
    <w:rsid w:val="00F76C6E"/>
    <w:rsid w:val="00F814E1"/>
    <w:rsid w:val="00F827CB"/>
    <w:rsid w:val="00F91169"/>
    <w:rsid w:val="00F97B4F"/>
    <w:rsid w:val="00FB151B"/>
    <w:rsid w:val="00FB1974"/>
    <w:rsid w:val="00FE09EE"/>
    <w:rsid w:val="00FE3329"/>
    <w:rsid w:val="00FF0F85"/>
    <w:rsid w:val="00FF4DC1"/>
    <w:rsid w:val="022D701E"/>
    <w:rsid w:val="05FA536B"/>
    <w:rsid w:val="14D828B7"/>
    <w:rsid w:val="2BB822A3"/>
    <w:rsid w:val="3F815363"/>
    <w:rsid w:val="426125D4"/>
    <w:rsid w:val="47B164C6"/>
    <w:rsid w:val="6B3867EB"/>
    <w:rsid w:val="728B7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styleId="a5">
    <w:name w:val="Hyperlink"/>
    <w:basedOn w:val="a0"/>
    <w:rPr>
      <w:rFonts w:cs="Times New Roman"/>
      <w:color w:val="0000FF"/>
      <w:u w:val="single"/>
    </w:rPr>
  </w:style>
  <w:style w:type="character" w:customStyle="1" w:styleId="apple-converted-space">
    <w:name w:val="apple-converted-space"/>
    <w:basedOn w:val="a0"/>
  </w:style>
  <w:style w:type="paragraph" w:styleId="a6">
    <w:name w:val="footer"/>
    <w:basedOn w:val="a"/>
    <w:pPr>
      <w:tabs>
        <w:tab w:val="center" w:pos="4153"/>
        <w:tab w:val="right" w:pos="8306"/>
      </w:tabs>
      <w:snapToGrid w:val="0"/>
      <w:jc w:val="left"/>
    </w:pPr>
    <w:rPr>
      <w:sz w:val="18"/>
      <w:szCs w:val="18"/>
    </w:rPr>
  </w:style>
  <w:style w:type="paragraph" w:styleId="a7">
    <w:name w:val="Date"/>
    <w:basedOn w:val="a"/>
    <w:next w:val="a"/>
    <w:pPr>
      <w:ind w:leftChars="2500" w:left="100"/>
    </w:p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customStyle="1" w:styleId="NormalWeb">
    <w:name w:val="Normal (Web)"/>
    <w:basedOn w:val="a"/>
    <w:pPr>
      <w:widowControl/>
      <w:spacing w:before="100" w:beforeAutospacing="1" w:after="100" w:afterAutospacing="1"/>
      <w:jc w:val="left"/>
    </w:pPr>
    <w:rPr>
      <w:rFonts w:ascii="宋体" w:hAnsi="宋体" w:hint="eastAsia"/>
      <w:sz w:val="24"/>
    </w:rPr>
  </w:style>
  <w:style w:type="paragraph" w:customStyle="1" w:styleId="10">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860</Words>
  <Characters>4907</Characters>
  <Application>Microsoft Office Word</Application>
  <DocSecurity>0</DocSecurity>
  <Lines>40</Lines>
  <Paragraphs>11</Paragraphs>
  <ScaleCrop>false</ScaleCrop>
  <Company>微软中国</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南通市安全生产监督管理局</dc:title>
  <dc:creator>USER</dc:creator>
  <cp:lastModifiedBy>微软用户</cp:lastModifiedBy>
  <cp:revision>2</cp:revision>
  <cp:lastPrinted>2018-07-09T02:08:00Z</cp:lastPrinted>
  <dcterms:created xsi:type="dcterms:W3CDTF">2018-08-24T08:57:00Z</dcterms:created>
  <dcterms:modified xsi:type="dcterms:W3CDTF">2018-08-24T08:57:00Z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