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240" w:lineRule="auto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  <w:shd w:val="clear" w:color="auto" w:fill="FFFFFF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附件1：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953"/>
        <w:gridCol w:w="649"/>
        <w:gridCol w:w="397"/>
        <w:gridCol w:w="943"/>
        <w:gridCol w:w="781"/>
        <w:gridCol w:w="470"/>
        <w:gridCol w:w="1047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14:ligatures w14:val="none"/>
              </w:rPr>
              <w:t>吕四港环抱式港池东港区基础设施工程PPP项目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华文行楷" w:hAnsi="宋体" w:eastAsia="华文行楷" w:cs="宋体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14:ligatures w14:val="none"/>
              </w:rPr>
              <w:t xml:space="preserve">疏浚土综合利用勘察工程报价表      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32"/>
                <w:szCs w:val="32"/>
                <w14:ligatures w14:val="none"/>
              </w:rPr>
              <w:t xml:space="preserve">           </w:t>
            </w:r>
            <w:r>
              <w:rPr>
                <w:rFonts w:ascii="Times New Roman" w:hAnsi="Times New Roman" w:eastAsia="华文行楷" w:cs="Times New Roman"/>
                <w:b/>
                <w:bCs/>
                <w:kern w:val="0"/>
                <w:sz w:val="32"/>
                <w:szCs w:val="32"/>
                <w14:ligatures w14:val="none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1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工作内容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类别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单位</w:t>
            </w: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工作量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单价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系数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金额</w:t>
            </w:r>
          </w:p>
        </w:tc>
        <w:tc>
          <w:tcPr>
            <w:tcW w:w="9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元</w:t>
            </w: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元</w:t>
            </w:r>
          </w:p>
        </w:tc>
        <w:tc>
          <w:tcPr>
            <w:tcW w:w="9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定孔费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  <w14:ligatures w14:val="none"/>
              </w:rPr>
              <w:t>组日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二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钻孔</w:t>
            </w:r>
          </w:p>
        </w:tc>
        <w:tc>
          <w:tcPr>
            <w:tcW w:w="251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本项目共布置34个勘探孔（取土孔），孔深10-20米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2.1.1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D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，海上孔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Ⅰ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110.00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3.5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2.1.2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D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，海上孔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230.00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3.5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2.1.3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10&lt;D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，海上孔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Ⅰ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60.00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3.5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2.1.4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10&lt;D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，海上孔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130.00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3.5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三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取样及原位测试</w:t>
            </w:r>
          </w:p>
        </w:tc>
        <w:tc>
          <w:tcPr>
            <w:tcW w:w="251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取原状土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厚壁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件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90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3.0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14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取扰动样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件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230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3.0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11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标准贯入试验</w:t>
            </w:r>
          </w:p>
        </w:tc>
        <w:tc>
          <w:tcPr>
            <w:tcW w:w="251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3.3.1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D≤20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次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85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3.0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四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岩土试验</w:t>
            </w:r>
          </w:p>
        </w:tc>
        <w:tc>
          <w:tcPr>
            <w:tcW w:w="345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原状土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组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90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1.0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扰动样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组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230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1.0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室内试验技术工作费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0.1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五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技术工作费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1.0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六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Ⅰ类费用报价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七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其它Ⅱ类生产费用</w:t>
            </w:r>
          </w:p>
        </w:tc>
        <w:tc>
          <w:tcPr>
            <w:tcW w:w="345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7.1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设备调遣费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租船费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天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30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7.3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平台材料及运杂费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7.4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  <w14:ligatures w14:val="none"/>
              </w:rPr>
              <w:t>包含通航安全评估费用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  <w14:ligatures w14:val="none"/>
              </w:rPr>
              <w:t>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 xml:space="preserve">1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八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Ⅱ类费用合计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九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总报价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14:ligatures w14:val="none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14:ligatures w14:val="none"/>
              </w:rPr>
              <w:t>　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14:ligatures w14:val="none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  <w14:ligatures w14:val="none"/>
        </w:rPr>
        <w:t>联系人：</w:t>
      </w:r>
      <w:r>
        <w:rPr>
          <w:rFonts w:ascii="仿宋" w:hAnsi="仿宋" w:eastAsia="仿宋" w:cs="宋体"/>
          <w:kern w:val="0"/>
          <w:sz w:val="28"/>
          <w:szCs w:val="28"/>
          <w14:ligatures w14:val="none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14:ligatures w14:val="none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  <w14:ligatures w14:val="none"/>
        </w:rPr>
        <w:t>联系方式：</w:t>
      </w:r>
      <w:r>
        <w:rPr>
          <w:rFonts w:ascii="仿宋" w:hAnsi="仿宋" w:eastAsia="仿宋" w:cs="宋体"/>
          <w:kern w:val="0"/>
          <w:sz w:val="28"/>
          <w:szCs w:val="28"/>
          <w14:ligatures w14:val="none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</w:pPr>
      <w:r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  <w14:ligatures w14:val="none"/>
        </w:rPr>
        <w:t>单位名称（盖公章）</w:t>
      </w:r>
      <w:r>
        <w:rPr>
          <w:rFonts w:ascii="仿宋" w:hAnsi="仿宋" w:eastAsia="仿宋" w:cs="宋体"/>
          <w:kern w:val="0"/>
          <w:sz w:val="28"/>
          <w:szCs w:val="28"/>
          <w14:ligatures w14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DFiZGYzYzBhMTkyZGFiYzI2NjIzNmEzOWIzZDQifQ=="/>
  </w:docVars>
  <w:rsids>
    <w:rsidRoot w:val="7627034E"/>
    <w:rsid w:val="7627034E"/>
    <w:rsid w:val="786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2025-01-22T06:08:00Z</dcterms:created>
  <dc:creator>碎片</dc:creator>
  <cp:lastModifiedBy>碎片</cp:lastModifiedBy>
  <dcterms:modified xsi:type="dcterms:W3CDTF">2025-01-22T06:14:26Z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A93E604B9CE14D78927161DB29F57DFC_11</vt:lpwstr>
  </property>
</Properties>
</file>