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9678B">
      <w:pPr>
        <w:spacing w:line="500" w:lineRule="exact"/>
        <w:rPr>
          <w:rFonts w:ascii="Calibri" w:hAnsi="Calibri" w:eastAsia="宋体"/>
          <w:b/>
          <w:color w:val="000000" w:themeColor="text1"/>
          <w:sz w:val="28"/>
          <w:szCs w:val="28"/>
          <w:highlight w:val="none"/>
          <w14:textFill>
            <w14:solidFill>
              <w14:schemeClr w14:val="tx1"/>
            </w14:solidFill>
          </w14:textFill>
        </w:rPr>
      </w:pPr>
      <w:r>
        <w:rPr>
          <w:rFonts w:hint="eastAsia" w:ascii="Calibri" w:hAnsi="Calibri" w:eastAsia="宋体"/>
          <w:b/>
          <w:color w:val="000000" w:themeColor="text1"/>
          <w:sz w:val="28"/>
          <w:szCs w:val="28"/>
          <w:highlight w:val="none"/>
          <w14:textFill>
            <w14:solidFill>
              <w14:schemeClr w14:val="tx1"/>
            </w14:solidFill>
          </w14:textFill>
        </w:rPr>
        <w:t>附件：</w:t>
      </w:r>
    </w:p>
    <w:p w14:paraId="4A7D1AE7">
      <w:pPr>
        <w:spacing w:line="500" w:lineRule="exact"/>
        <w:jc w:val="center"/>
        <w:rPr>
          <w:rFonts w:hint="eastAsia" w:ascii="Calibri" w:hAnsi="Calibri" w:eastAsia="宋体"/>
          <w:b/>
          <w:color w:val="000000" w:themeColor="text1"/>
          <w:sz w:val="28"/>
          <w:szCs w:val="28"/>
          <w:highlight w:val="none"/>
          <w:lang w:eastAsia="zh-CN"/>
          <w14:textFill>
            <w14:solidFill>
              <w14:schemeClr w14:val="tx1"/>
            </w14:solidFill>
          </w14:textFill>
        </w:rPr>
      </w:pPr>
      <w:r>
        <w:rPr>
          <w:rFonts w:hint="eastAsia" w:ascii="Calibri" w:hAnsi="Calibri" w:eastAsia="宋体"/>
          <w:b/>
          <w:bCs/>
          <w:color w:val="000000" w:themeColor="text1"/>
          <w:sz w:val="28"/>
          <w:szCs w:val="28"/>
          <w:highlight w:val="none"/>
          <w:lang w:eastAsia="zh-CN"/>
          <w14:textFill>
            <w14:solidFill>
              <w14:schemeClr w14:val="tx1"/>
            </w14:solidFill>
          </w14:textFill>
        </w:rPr>
        <w:t>江苏南通市海洋生态保护修复工程后期管护——盐沼植被区域监测项目</w:t>
      </w:r>
    </w:p>
    <w:p w14:paraId="2DBA3298">
      <w:pPr>
        <w:spacing w:line="500" w:lineRule="exact"/>
        <w:jc w:val="center"/>
        <w:rPr>
          <w:rFonts w:hint="eastAsia" w:ascii="Calibri" w:hAnsi="Calibri" w:eastAsia="宋体"/>
          <w:b/>
          <w:color w:val="000000" w:themeColor="text1"/>
          <w:sz w:val="28"/>
          <w:szCs w:val="28"/>
          <w:highlight w:val="none"/>
          <w14:textFill>
            <w14:solidFill>
              <w14:schemeClr w14:val="tx1"/>
            </w14:solidFill>
          </w14:textFill>
        </w:rPr>
      </w:pPr>
      <w:r>
        <w:rPr>
          <w:rFonts w:hint="eastAsia" w:ascii="Calibri" w:hAnsi="Calibri" w:eastAsia="宋体"/>
          <w:b/>
          <w:color w:val="000000" w:themeColor="text1"/>
          <w:sz w:val="28"/>
          <w:szCs w:val="28"/>
          <w:highlight w:val="none"/>
          <w14:textFill>
            <w14:solidFill>
              <w14:schemeClr w14:val="tx1"/>
            </w14:solidFill>
          </w14:textFill>
        </w:rPr>
        <w:t>市场询价报价单</w:t>
      </w:r>
    </w:p>
    <w:tbl>
      <w:tblPr>
        <w:tblStyle w:val="4"/>
        <w:tblW w:w="8880" w:type="dxa"/>
        <w:jc w:val="center"/>
        <w:tblLayout w:type="fixed"/>
        <w:tblCellMar>
          <w:top w:w="0" w:type="dxa"/>
          <w:left w:w="0" w:type="dxa"/>
          <w:bottom w:w="0" w:type="dxa"/>
          <w:right w:w="0" w:type="dxa"/>
        </w:tblCellMar>
      </w:tblPr>
      <w:tblGrid>
        <w:gridCol w:w="1875"/>
        <w:gridCol w:w="7005"/>
      </w:tblGrid>
      <w:tr w14:paraId="19AB2EB5">
        <w:tblPrEx>
          <w:tblCellMar>
            <w:top w:w="0" w:type="dxa"/>
            <w:left w:w="0" w:type="dxa"/>
            <w:bottom w:w="0" w:type="dxa"/>
            <w:right w:w="0" w:type="dxa"/>
          </w:tblCellMar>
        </w:tblPrEx>
        <w:trPr>
          <w:trHeight w:val="1093" w:hRule="atLeast"/>
          <w:jc w:val="center"/>
        </w:trPr>
        <w:tc>
          <w:tcPr>
            <w:tcW w:w="1875"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E9933">
            <w:pPr>
              <w:spacing w:line="500" w:lineRule="exact"/>
              <w:jc w:val="center"/>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7005" w:type="dxa"/>
            <w:tcBorders>
              <w:top w:val="single" w:color="auto" w:sz="12" w:space="0"/>
              <w:left w:val="nil"/>
              <w:bottom w:val="single" w:color="auto" w:sz="8" w:space="0"/>
              <w:right w:val="single" w:color="auto" w:sz="12" w:space="0"/>
            </w:tcBorders>
            <w:noWrap w:val="0"/>
            <w:tcMar>
              <w:top w:w="0" w:type="dxa"/>
              <w:left w:w="108" w:type="dxa"/>
              <w:bottom w:w="0" w:type="dxa"/>
              <w:right w:w="108" w:type="dxa"/>
            </w:tcMar>
            <w:vAlign w:val="center"/>
          </w:tcPr>
          <w:p w14:paraId="0D583D9F">
            <w:pPr>
              <w:spacing w:line="500" w:lineRule="exact"/>
              <w:jc w:val="center"/>
              <w:outlineLvl w:val="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江苏南通市海洋生态保护修复工程后期管护</w:t>
            </w:r>
            <w:r>
              <w:rPr>
                <w:rFonts w:hint="eastAsia" w:ascii="Calibri" w:hAnsi="Calibri" w:eastAsia="宋体"/>
                <w:b/>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sz w:val="24"/>
                <w:szCs w:val="24"/>
                <w:highlight w:val="none"/>
                <w:lang w:eastAsia="zh-CN"/>
              </w:rPr>
              <w:t>盐沼植被区域监测项目</w:t>
            </w:r>
          </w:p>
        </w:tc>
      </w:tr>
      <w:tr w14:paraId="7C3AD075">
        <w:tblPrEx>
          <w:tblCellMar>
            <w:top w:w="0" w:type="dxa"/>
            <w:left w:w="0" w:type="dxa"/>
            <w:bottom w:w="0" w:type="dxa"/>
            <w:right w:w="0" w:type="dxa"/>
          </w:tblCellMar>
        </w:tblPrEx>
        <w:trPr>
          <w:cantSplit/>
          <w:trHeight w:val="1719" w:hRule="atLeast"/>
          <w:jc w:val="center"/>
        </w:trPr>
        <w:tc>
          <w:tcPr>
            <w:tcW w:w="1875" w:type="dxa"/>
            <w:tcBorders>
              <w:top w:val="single" w:color="auto" w:sz="8" w:space="0"/>
              <w:left w:val="single" w:color="auto" w:sz="8" w:space="0"/>
              <w:bottom w:val="nil"/>
              <w:right w:val="single" w:color="auto" w:sz="4" w:space="0"/>
            </w:tcBorders>
            <w:noWrap w:val="0"/>
            <w:tcMar>
              <w:top w:w="0" w:type="dxa"/>
              <w:left w:w="108" w:type="dxa"/>
              <w:bottom w:w="0" w:type="dxa"/>
              <w:right w:w="108" w:type="dxa"/>
            </w:tcMar>
            <w:vAlign w:val="center"/>
          </w:tcPr>
          <w:p w14:paraId="11F75F53">
            <w:pPr>
              <w:spacing w:line="500" w:lineRule="exact"/>
              <w:jc w:val="center"/>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w:t>
            </w:r>
          </w:p>
        </w:tc>
        <w:tc>
          <w:tcPr>
            <w:tcW w:w="7005" w:type="dxa"/>
            <w:tcBorders>
              <w:top w:val="single" w:color="auto" w:sz="4" w:space="0"/>
              <w:left w:val="nil"/>
              <w:bottom w:val="single" w:color="auto" w:sz="4" w:space="0"/>
              <w:right w:val="single" w:color="auto" w:sz="12" w:space="0"/>
            </w:tcBorders>
            <w:noWrap w:val="0"/>
            <w:tcMar>
              <w:top w:w="0" w:type="dxa"/>
              <w:left w:w="108" w:type="dxa"/>
              <w:bottom w:w="0" w:type="dxa"/>
              <w:right w:w="108" w:type="dxa"/>
            </w:tcMar>
            <w:vAlign w:val="center"/>
          </w:tcPr>
          <w:p w14:paraId="62A78A96">
            <w:pPr>
              <w:spacing w:line="500" w:lineRule="exact"/>
              <w:jc w:val="left"/>
              <w:outlineLvl w:val="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人民币：</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元（￥：</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元）</w:t>
            </w:r>
          </w:p>
        </w:tc>
      </w:tr>
      <w:tr w14:paraId="2DE727E2">
        <w:tblPrEx>
          <w:tblCellMar>
            <w:top w:w="0" w:type="dxa"/>
            <w:left w:w="0" w:type="dxa"/>
            <w:bottom w:w="0" w:type="dxa"/>
            <w:right w:w="0" w:type="dxa"/>
          </w:tblCellMar>
        </w:tblPrEx>
        <w:trPr>
          <w:trHeight w:val="1672" w:hRule="atLeast"/>
          <w:jc w:val="center"/>
        </w:trPr>
        <w:tc>
          <w:tcPr>
            <w:tcW w:w="18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9A1C4A">
            <w:pPr>
              <w:spacing w:line="500" w:lineRule="exact"/>
              <w:jc w:val="center"/>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w:t>
            </w:r>
          </w:p>
        </w:tc>
        <w:tc>
          <w:tcPr>
            <w:tcW w:w="7005" w:type="dxa"/>
            <w:tcBorders>
              <w:top w:val="single" w:color="auto" w:sz="4" w:space="0"/>
              <w:left w:val="nil"/>
              <w:bottom w:val="single" w:color="auto" w:sz="8" w:space="0"/>
              <w:right w:val="single" w:color="auto" w:sz="12" w:space="0"/>
            </w:tcBorders>
            <w:noWrap w:val="0"/>
            <w:tcMar>
              <w:top w:w="0" w:type="dxa"/>
              <w:left w:w="108" w:type="dxa"/>
              <w:bottom w:w="0" w:type="dxa"/>
              <w:right w:w="108" w:type="dxa"/>
            </w:tcMar>
            <w:vAlign w:val="center"/>
          </w:tcPr>
          <w:p w14:paraId="4F2AE191">
            <w:pPr>
              <w:spacing w:line="360" w:lineRule="auto"/>
              <w:jc w:val="left"/>
              <w:rPr>
                <w:rFonts w:hint="eastAsia" w:asciiTheme="minorEastAsia" w:hAnsiTheme="minorEastAsia" w:eastAsiaTheme="minorEastAsia" w:cstheme="minorEastAsia"/>
                <w:bCs/>
                <w:color w:val="000000"/>
                <w:sz w:val="24"/>
                <w:szCs w:val="24"/>
                <w:highlight w:val="none"/>
                <w:lang w:eastAsia="zh-CN"/>
              </w:rPr>
            </w:pPr>
            <w:r>
              <w:rPr>
                <w:rFonts w:hint="eastAsia" w:ascii="宋体" w:hAnsi="宋体" w:eastAsia="宋体" w:cs="黑体"/>
                <w:color w:val="000000" w:themeColor="text1"/>
                <w:sz w:val="24"/>
                <w:szCs w:val="24"/>
                <w:highlight w:val="none"/>
                <w14:textFill>
                  <w14:solidFill>
                    <w14:schemeClr w14:val="tx1"/>
                  </w14:solidFill>
                </w14:textFill>
              </w:rPr>
              <w:t>投标报价采用固定总价，包括（但不限于）完成本项目所需的环境调查考察、基础资料收集费、包含相关成果材料编制费用、报告编制费、人员薪酬、交通费、取样费、服务费、监测费、食宿费、相关仪器设备使用费、保险费、专家咨询及评审费、会务费、技术指导、利润、税金</w:t>
            </w:r>
            <w:r>
              <w:rPr>
                <w:rFonts w:hint="eastAsia" w:ascii="宋体" w:hAnsi="宋体" w:eastAsia="宋体" w:cs="黑体"/>
                <w:color w:val="000000" w:themeColor="text1"/>
                <w:sz w:val="24"/>
                <w:szCs w:val="24"/>
                <w:highlight w:val="none"/>
                <w:lang w:eastAsia="zh-CN"/>
                <w14:textFill>
                  <w14:solidFill>
                    <w14:schemeClr w14:val="tx1"/>
                  </w14:solidFill>
                </w14:textFill>
              </w:rPr>
              <w:t>等</w:t>
            </w:r>
            <w:r>
              <w:rPr>
                <w:rFonts w:hint="eastAsia" w:ascii="宋体" w:hAnsi="宋体" w:eastAsia="宋体" w:cs="黑体"/>
                <w:color w:val="000000" w:themeColor="text1"/>
                <w:sz w:val="24"/>
                <w:szCs w:val="24"/>
                <w:highlight w:val="none"/>
                <w14:textFill>
                  <w14:solidFill>
                    <w14:schemeClr w14:val="tx1"/>
                  </w14:solidFill>
                </w14:textFill>
              </w:rPr>
              <w:t>一切与项目实施相关的费用</w:t>
            </w:r>
            <w:r>
              <w:rPr>
                <w:rFonts w:hint="eastAsia" w:ascii="宋体" w:hAnsi="宋体" w:eastAsia="宋体" w:cs="黑体"/>
                <w:color w:val="000000" w:themeColor="text1"/>
                <w:sz w:val="24"/>
                <w:szCs w:val="24"/>
                <w:highlight w:val="none"/>
                <w:lang w:eastAsia="zh-CN"/>
                <w14:textFill>
                  <w14:solidFill>
                    <w14:schemeClr w14:val="tx1"/>
                  </w14:solidFill>
                </w14:textFill>
              </w:rPr>
              <w:t>，</w:t>
            </w:r>
            <w:r>
              <w:rPr>
                <w:rFonts w:hint="eastAsia" w:ascii="宋体" w:hAnsi="宋体" w:eastAsia="宋体" w:cs="黑体"/>
                <w:color w:val="000000" w:themeColor="text1"/>
                <w:sz w:val="24"/>
                <w:szCs w:val="24"/>
                <w:highlight w:val="none"/>
                <w14:textFill>
                  <w14:solidFill>
                    <w14:schemeClr w14:val="tx1"/>
                  </w14:solidFill>
                </w14:textFill>
              </w:rPr>
              <w:t>以及报价单位认为需要的其他费用等。合同价在合同实施期间不因市场价格波动和各种风险因素的发生而变动。</w:t>
            </w:r>
          </w:p>
        </w:tc>
      </w:tr>
    </w:tbl>
    <w:p w14:paraId="3BC727B9">
      <w:pPr>
        <w:spacing w:line="500" w:lineRule="exact"/>
        <w:jc w:val="both"/>
        <w:rPr>
          <w:rFonts w:hint="eastAsia" w:ascii="Calibri" w:hAnsi="Calibri" w:eastAsia="宋体"/>
          <w:b/>
          <w:color w:val="000000" w:themeColor="text1"/>
          <w:sz w:val="28"/>
          <w:szCs w:val="28"/>
          <w:highlight w:val="none"/>
          <w14:textFill>
            <w14:solidFill>
              <w14:schemeClr w14:val="tx1"/>
            </w14:solidFill>
          </w14:textFill>
        </w:rPr>
      </w:pPr>
    </w:p>
    <w:p w14:paraId="0DB94C61">
      <w:pPr>
        <w:keepNext w:val="0"/>
        <w:keepLines w:val="0"/>
        <w:pageBreakBefore w:val="0"/>
        <w:widowControl w:val="0"/>
        <w:kinsoku/>
        <w:wordWrap/>
        <w:overflowPunct/>
        <w:topLinePunct w:val="0"/>
        <w:autoSpaceDE/>
        <w:autoSpaceDN/>
        <w:bidi w:val="0"/>
        <w:adjustRightInd/>
        <w:snapToGrid/>
        <w:spacing w:line="480" w:lineRule="exact"/>
        <w:ind w:right="96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报价单位</w:t>
      </w:r>
      <w:r>
        <w:rPr>
          <w:rFonts w:hint="eastAsia" w:ascii="宋体" w:hAnsi="宋体" w:eastAsia="宋体" w:cs="宋体"/>
          <w:color w:val="000000" w:themeColor="text1"/>
          <w:sz w:val="24"/>
          <w:szCs w:val="24"/>
          <w:highlight w:val="none"/>
          <w:lang w:eastAsia="zh-CN"/>
          <w14:textFill>
            <w14:solidFill>
              <w14:schemeClr w14:val="tx1"/>
            </w14:solidFill>
          </w14:textFill>
        </w:rPr>
        <w:t>（盖章）</w:t>
      </w:r>
      <w:r>
        <w:rPr>
          <w:rFonts w:hint="eastAsia" w:ascii="宋体" w:hAnsi="宋体" w:eastAsia="宋体" w:cs="宋体"/>
          <w:color w:val="000000" w:themeColor="text1"/>
          <w:sz w:val="24"/>
          <w:szCs w:val="24"/>
          <w:highlight w:val="none"/>
          <w14:textFill>
            <w14:solidFill>
              <w14:schemeClr w14:val="tx1"/>
            </w14:solidFill>
          </w14:textFill>
        </w:rPr>
        <w:t>：</w:t>
      </w:r>
    </w:p>
    <w:p w14:paraId="6B792058">
      <w:pPr>
        <w:keepNext w:val="0"/>
        <w:keepLines w:val="0"/>
        <w:pageBreakBefore w:val="0"/>
        <w:widowControl w:val="0"/>
        <w:kinsoku/>
        <w:wordWrap/>
        <w:overflowPunct/>
        <w:topLinePunct w:val="0"/>
        <w:autoSpaceDE/>
        <w:autoSpaceDN/>
        <w:bidi w:val="0"/>
        <w:adjustRightInd/>
        <w:snapToGrid/>
        <w:spacing w:line="480" w:lineRule="exact"/>
        <w:ind w:right="9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报价单位联系人：</w:t>
      </w:r>
    </w:p>
    <w:p w14:paraId="6529332E">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sz w:val="24"/>
          <w:szCs w:val="24"/>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联系电话：</w:t>
      </w:r>
    </w:p>
    <w:p w14:paraId="51744FFD">
      <w:pPr>
        <w:keepNext w:val="0"/>
        <w:keepLines w:val="0"/>
        <w:pageBreakBefore w:val="0"/>
        <w:widowControl w:val="0"/>
        <w:kinsoku/>
        <w:wordWrap/>
        <w:overflowPunct/>
        <w:topLinePunct w:val="0"/>
        <w:autoSpaceDE/>
        <w:autoSpaceDN/>
        <w:bidi w:val="0"/>
        <w:adjustRightInd/>
        <w:snapToGrid/>
        <w:spacing w:line="480" w:lineRule="exact"/>
        <w:ind w:right="96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232F519E">
      <w:bookmarkStart w:id="0" w:name="_GoBack"/>
      <w:bookmarkEnd w:id="0"/>
    </w:p>
    <w:sectPr>
      <w:headerReference r:id="rId3"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796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zRjZDMzZWFlNzljODc2ZjY4MWM0YTM2M2Y4NGMifQ=="/>
  </w:docVars>
  <w:rsids>
    <w:rsidRoot w:val="401F1CB1"/>
    <w:rsid w:val="401F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kern w:val="0"/>
      <w:sz w:val="24"/>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2024-09-29T06:37:00Z</dcterms:created>
  <dc:creator>QQ</dc:creator>
  <cp:lastModifiedBy>QQ</cp:lastModifiedBy>
  <dcterms:modified xsi:type="dcterms:W3CDTF">2024-09-29T06:37:52Z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65DDD6672AFE42A4ADC0C173522F9F51_11</vt:lpwstr>
  </property>
</Properties>
</file>